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EMBARAZO ADOLESCENTE </w:t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DEFINICIÓN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FACTORES ASOCIADOS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Gestación que ocurre durante los 2 primeros años de edad ginecológica (Edad menarquia) o cuando el adolescente tienen dependencia económica y económica de sus padres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de cada cinco adolescentes entre 15 y 19 años ha estado alguna vez embarazada.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https://www.dane.gov.co/files/investigaciones/notas-estadisticas/ene-2022-nota-estadistica-embarazo.pdf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Poca información de la anticoncepción </w:t>
            </w:r>
          </w:p>
          <w:tbl>
            <w:tblPr>
              <w:tblStyle w:val="Table2"/>
              <w:tblW w:w="4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94.9999999999998"/>
              <w:gridCol w:w="3265.0000000000005"/>
              <w:tblGridChange w:id="0">
                <w:tblGrid>
                  <w:gridCol w:w="1294.9999999999998"/>
                  <w:gridCol w:w="3265.00000000000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Biológicos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Menarquia → la producción de ciclos ováricos se alcanza 50% 2 años después de la menarquia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Sociales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Comportamientos hipersexuales para la edad, Protector religión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Conducta sexual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Se extiende principalmente a baja clase social y zonas rurales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Disfunción familiar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Huir de un hogar patológico, violencia, alcoholismo o inciesto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ead1d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b w:val="1"/>
                      <w:sz w:val="16"/>
                      <w:szCs w:val="16"/>
                      <w:rtl w:val="0"/>
                    </w:rPr>
                    <w:t xml:space="preserve">Psicológicos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“El machismo y la necesidad de iniciar vida sexual” EGOCÉNTRICO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ACTITUD FRENTE AL EMBARAZO Focos desarrollo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90.0000000000002"/>
              <w:gridCol w:w="3070"/>
              <w:tblGridChange w:id="0">
                <w:tblGrid>
                  <w:gridCol w:w="1490.0000000000002"/>
                  <w:gridCol w:w="30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Ad Temprana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Importante su cuerpo, no hay lugar para ser padre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Ad Media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Establecer identidad y feminidad: oportunidad para obtener más madurez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Ad Tardía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Consolidar identidad, iniciar intimidad y comprometer un varón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5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34.9999999999998"/>
              <w:gridCol w:w="3025.0000000000005"/>
              <w:tblGridChange w:id="0">
                <w:tblGrid>
                  <w:gridCol w:w="1534.9999999999998"/>
                  <w:gridCol w:w="3025.00000000000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Madre adolescente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Riego de anemia, sindrome hipertensivo, riesgo de aborto y Deserción escolar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Padre adolescente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Estrés y trastornos afectivos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Aborto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mortalidad materna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Hijo madre adolescente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Bajo peso al nacer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Desnutrición Retardo crecimiento y riesgo de maltrato 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MOTIVOS DE CONSULTA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PREVENCIÓN ORIENTACIÓN PROGRAMS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Amenorrea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Congestión y aumento volumen mamario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Dolor abdominal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999388" cy="136271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36328" l="37514" r="4215" t="369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388" cy="13627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Posponer la actividad sexual y abstinencia </w:t>
            </w:r>
          </w:p>
          <w:tbl>
            <w:tblPr>
              <w:tblStyle w:val="Table5"/>
              <w:tblW w:w="46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10"/>
              <w:gridCol w:w="2310"/>
              <w:tblGridChange w:id="0">
                <w:tblGrid>
                  <w:gridCol w:w="2310"/>
                  <w:gridCol w:w="23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TEMPRANO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TARDÍO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Pubertad temprana 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Abuso sexual 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Ausencia de padres apoyadores 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Mal rendimiento escolar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Participación en otras actividades de riesgo. 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Pobreza 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Enfermedad mental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Énfasis en abstinencia 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Orientación a cumplimiento de metas 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Consistencia y firmeza de los padres en disciplina 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Buen rendimiento escolar 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Participación xregular en lugares de culto religioso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atisfy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color w:val="ff99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c98ee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color w:val="ff99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c98ee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fa26a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fa26a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atisfy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CViFMBpuHUqF3mkkUs/NbAo0Xw==">CgMxLjA4AHIhMUczRlhlWEJWbjdBMUZqNFNuU1U5bksyd3czOS1PWTc2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