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a237e"/>
          <w:sz w:val="36"/>
          <w:szCs w:val="36"/>
        </w:rPr>
        <w:t xml:space="preserve">LABORATORIO DE MINERÍA DE DATOS</w:t>
      </w:r>
    </w:p>
    <w:p>
      <w:pPr>
        <w:spacing w:after="200" w:before="100"/>
        <w:jc w:val="center"/>
      </w:pPr>
      <w:r>
        <w:rPr>
          <w:b/>
          <w:bCs/>
          <w:color w:val="1565C0"/>
          <w:sz w:val="28"/>
          <w:szCs w:val="28"/>
        </w:rPr>
        <w:t xml:space="preserve">Taller: Regresión Lineal Múltiple con CRISP-DM</w:t>
      </w:r>
    </w:p>
    <w:p>
      <w:pPr>
        <w:spacing w:after="100" w:before="100"/>
        <w:jc w:val="center"/>
      </w:pPr>
      <w:r>
        <w:rPr>
          <w:i/>
          <w:iCs/>
          <w:sz w:val="24"/>
          <w:szCs w:val="24"/>
        </w:rPr>
        <w:t xml:space="preserve">Ingeniería de Software</w:t>
      </w:r>
    </w:p>
    <w:p>
      <w:pPr>
        <w:spacing w:after="100" w:before="600"/>
        <w:jc w:val="center"/>
      </w:pPr>
      <w:r>
        <w:rPr>
          <w:color w:val="555555"/>
          <w:sz w:val="22"/>
          <w:szCs w:val="22"/>
        </w:rPr>
        <w:t xml:space="preserve">Abril 2026</w:t>
      </w:r>
    </w:p>
    <w:p>
      <w:r>
        <w:br w:type="page"/>
      </w:r>
    </w:p>
    <w:p>
      <w:pPr>
        <w:pStyle w:val="Heading1"/>
      </w:pPr>
      <w:r>
        <w:rPr>
          <w:b/>
          <w:bCs/>
          <w:color w:val="1a237e"/>
          <w:sz w:val="32"/>
          <w:szCs w:val="32"/>
        </w:rPr>
        <w:t xml:space="preserve">1. Introducción</w:t>
      </w:r>
    </w:p>
    <w:p>
      <w:pPr>
        <w:spacing w:after="60" w:before="60"/>
      </w:pPr>
      <w:r>
        <w:rPr>
          <w:sz w:val="22"/>
          <w:szCs w:val="22"/>
        </w:rPr>
        <w:t xml:space="preserve">Este informe documenta el desarrollo de tres modelos de regresión lineal múltiple aplicando la metodología CRISP-DM (Cross Industry Standard Process for Data Mining). El objetivo es predecir variables cuantitativas en distintos contextos: el precio del dólar colombiano, el nivel de glucosa en sangre de pacientes, y el consumo de energía eléctrica.</w:t>
      </w:r>
    </w:p>
    <w:p>
      <w:pPr>
        <w:spacing w:after="60" w:before="60"/>
      </w:pPr>
      <w:r>
        <w:rPr>
          <w:sz w:val="22"/>
          <w:szCs w:val="22"/>
        </w:rPr>
        <w:t xml:space="preserve">La regresión lineal múltiple permite modelar la relación entre una variable dependiente cuantitativa y dos o más variables independientes, con la forma matemática:</w:t>
      </w:r>
    </w:p>
    <w:p>
      <w:pPr>
        <w:spacing w:after="60" w:before="60"/>
      </w:pPr>
      <w:r>
        <w:rPr>
          <w:i/>
          <w:iCs/>
          <w:sz w:val="22"/>
          <w:szCs w:val="22"/>
        </w:rPr>
        <w:t xml:space="preserve">  Ŷ = β₀ + β₁X₁ + β₂X₂ + ... + βₙXₙ + ε</w:t>
      </w:r>
    </w:p>
    <w:p>
      <w:pPr>
        <w:spacing w:after="60" w:before="60"/>
      </w:pPr>
      <w:r>
        <w:rPr>
          <w:sz w:val="22"/>
          <w:szCs w:val="22"/>
        </w:rPr>
        <w:t xml:space="preserve">donde β₀ es el intercepto, βᵢ son los coeficientes de cada variable y ε es el error residual.</w:t>
      </w:r>
    </w:p>
    <w:p>
      <w:pPr>
        <w:pStyle w:val="Heading1"/>
      </w:pPr>
      <w:r>
        <w:rPr>
          <w:b/>
          <w:bCs/>
          <w:color w:val="1a237e"/>
          <w:sz w:val="32"/>
          <w:szCs w:val="32"/>
        </w:rPr>
        <w:t xml:space="preserve">2. Metodología CRISP-DM</w:t>
      </w:r>
    </w:p>
    <w:p>
      <w:pPr>
        <w:spacing w:after="60" w:before="60"/>
      </w:pPr>
      <w:r>
        <w:rPr>
          <w:sz w:val="22"/>
          <w:szCs w:val="22"/>
        </w:rPr>
        <w:t xml:space="preserve">CRISP-DM es una metodología estándar en proyectos de minería de datos que se organiza en seis fases:</w:t>
      </w:r>
    </w:p>
    <w:p>
      <w:pPr>
        <w:pStyle w:val="ListParagraph"/>
        <w:numPr>
          <w:ilvl w:val="0"/>
          <w:numId w:val="2"/>
        </w:numPr>
      </w:pPr>
      <w:r>
        <w:rPr>
          <w:sz w:val="22"/>
          <w:szCs w:val="22"/>
        </w:rPr>
        <w:t xml:space="preserve">Comprensión del negocio: definir el objetivo y los criterios de éxito.</w:t>
      </w:r>
    </w:p>
    <w:p>
      <w:pPr>
        <w:pStyle w:val="ListParagraph"/>
        <w:numPr>
          <w:ilvl w:val="0"/>
          <w:numId w:val="2"/>
        </w:numPr>
      </w:pPr>
      <w:r>
        <w:rPr>
          <w:sz w:val="22"/>
          <w:szCs w:val="22"/>
        </w:rPr>
        <w:t xml:space="preserve">Comprensión de los datos: exploración estadística y visualización inicial.</w:t>
      </w:r>
    </w:p>
    <w:p>
      <w:pPr>
        <w:pStyle w:val="ListParagraph"/>
        <w:numPr>
          <w:ilvl w:val="0"/>
          <w:numId w:val="2"/>
        </w:numPr>
      </w:pPr>
      <w:r>
        <w:rPr>
          <w:sz w:val="22"/>
          <w:szCs w:val="22"/>
        </w:rPr>
        <w:t xml:space="preserve">Preparación de los datos: limpieza, transformación y división en entrenamiento/prueba (80/20).</w:t>
      </w:r>
    </w:p>
    <w:p>
      <w:pPr>
        <w:pStyle w:val="ListParagraph"/>
        <w:numPr>
          <w:ilvl w:val="0"/>
          <w:numId w:val="2"/>
        </w:numPr>
      </w:pPr>
      <w:r>
        <w:rPr>
          <w:sz w:val="22"/>
          <w:szCs w:val="22"/>
        </w:rPr>
        <w:t xml:space="preserve">Modelado: entrenamiento de los modelos de regresión lineal múltiple con scikit-learn.</w:t>
      </w:r>
    </w:p>
    <w:p>
      <w:pPr>
        <w:pStyle w:val="ListParagraph"/>
        <w:numPr>
          <w:ilvl w:val="0"/>
          <w:numId w:val="2"/>
        </w:numPr>
      </w:pPr>
      <w:r>
        <w:rPr>
          <w:sz w:val="22"/>
          <w:szCs w:val="22"/>
        </w:rPr>
        <w:t xml:space="preserve">Evaluación: cálculo de MSE, RMSE y R² sobre el conjunto de prueba.</w:t>
      </w:r>
    </w:p>
    <w:p>
      <w:pPr>
        <w:pStyle w:val="ListParagraph"/>
        <w:numPr>
          <w:ilvl w:val="0"/>
          <w:numId w:val="2"/>
        </w:numPr>
      </w:pPr>
      <w:r>
        <w:rPr>
          <w:sz w:val="22"/>
          <w:szCs w:val="22"/>
        </w:rPr>
        <w:t xml:space="preserve">Despliegue: exportación de modelos con joblib e interfaz web con Streamlit.</w:t>
      </w:r>
    </w:p>
    <w:p/>
    <w:p>
      <w:pPr>
        <w:pStyle w:val="Heading1"/>
      </w:pPr>
      <w:r>
        <w:rPr>
          <w:b/>
          <w:bCs/>
          <w:color w:val="1a237e"/>
          <w:sz w:val="32"/>
          <w:szCs w:val="32"/>
        </w:rPr>
        <w:t xml:space="preserve">3. Ejercicio 1: Predicción del Precio del Dólar</w:t>
      </w:r>
    </w:p>
    <w:p>
      <w:pPr>
        <w:pStyle w:val="Heading2"/>
      </w:pPr>
      <w:r>
        <w:rPr>
          <w:b/>
          <w:bCs/>
          <w:color w:val="1565C0"/>
          <w:sz w:val="26"/>
          <w:szCs w:val="26"/>
        </w:rPr>
        <w:t xml:space="preserve">3.1 Comprensión y Exploración de Datos</w:t>
      </w:r>
    </w:p>
    <w:p>
      <w:pPr>
        <w:spacing w:after="60" w:before="60"/>
      </w:pPr>
      <w:r>
        <w:rPr>
          <w:sz w:val="22"/>
          <w:szCs w:val="22"/>
        </w:rPr>
        <w:t xml:space="preserve">Dataset: dolar_data.csv — 500 registros con 4 variables.</w:t>
      </w:r>
    </w:p>
    <w:p>
      <w:pPr>
        <w:pStyle w:val="ListParagraph"/>
        <w:numPr>
          <w:ilvl w:val="0"/>
          <w:numId w:val="2"/>
        </w:numPr>
      </w:pPr>
      <w:r>
        <w:rPr>
          <w:sz w:val="22"/>
          <w:szCs w:val="22"/>
        </w:rPr>
        <w:t xml:space="preserve">Dia: número de día (1–500), promedio 250.5.</w:t>
      </w:r>
    </w:p>
    <w:p>
      <w:pPr>
        <w:pStyle w:val="ListParagraph"/>
        <w:numPr>
          <w:ilvl w:val="0"/>
          <w:numId w:val="2"/>
        </w:numPr>
      </w:pPr>
      <w:r>
        <w:rPr>
          <w:sz w:val="22"/>
          <w:szCs w:val="22"/>
        </w:rPr>
        <w:t xml:space="preserve">Inflacion: tasa de inflación diaria (rango 0.004–0.039), media 0.020.</w:t>
      </w:r>
    </w:p>
    <w:p>
      <w:pPr>
        <w:pStyle w:val="ListParagraph"/>
        <w:numPr>
          <w:ilvl w:val="0"/>
          <w:numId w:val="2"/>
        </w:numPr>
      </w:pPr>
      <w:r>
        <w:rPr>
          <w:sz w:val="22"/>
          <w:szCs w:val="22"/>
        </w:rPr>
        <w:t xml:space="preserve">Tasa_interes: tasa de interés diaria (3.65–6.32%), media 5.02%.</w:t>
      </w:r>
    </w:p>
    <w:p>
      <w:pPr>
        <w:pStyle w:val="ListParagraph"/>
        <w:numPr>
          <w:ilvl w:val="0"/>
          <w:numId w:val="2"/>
        </w:numPr>
      </w:pPr>
      <w:r>
        <w:rPr>
          <w:sz w:val="22"/>
          <w:szCs w:val="22"/>
        </w:rPr>
        <w:t xml:space="preserve">Precio_Dolar (variable dependiente): rango COP 3,940–6,554, media 5,212 COP.</w:t>
      </w:r>
    </w:p>
    <w:p/>
    <w:p>
      <w:pPr>
        <w:pStyle w:val="Heading2"/>
      </w:pPr>
      <w:r>
        <w:rPr>
          <w:b/>
          <w:bCs/>
          <w:color w:val="1565C0"/>
          <w:sz w:val="26"/>
          <w:szCs w:val="26"/>
        </w:rPr>
        <w:t xml:space="preserve">3.2 Modelo y Coeficientes</w:t>
      </w:r>
    </w:p>
    <w:p>
      <w:pPr>
        <w:spacing w:after="60" w:before="60"/>
      </w:pPr>
      <w:r>
        <w:rPr>
          <w:sz w:val="22"/>
          <w:szCs w:val="22"/>
        </w:rPr>
        <w:t xml:space="preserve">Se ajustó un modelo de Regresión Lineal Múltiple con 80% de datos para entrenamiento y 20% para prueba (random_state=42).</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4160"/>
      </w:tblGrid>
      <w:tr>
        <w:tc>
          <w:tcPr>
            <w:tcW w:type="dxa" w:w="312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center"/>
            </w:pPr>
            <w:r>
              <w:rPr>
                <w:b/>
                <w:bCs/>
                <w:color w:val="FFFFFF"/>
                <w:sz w:val="20"/>
                <w:szCs w:val="20"/>
              </w:rPr>
              <w:t xml:space="preserve">Variable</w:t>
            </w:r>
          </w:p>
        </w:tc>
        <w:tc>
          <w:tcPr>
            <w:tcW w:type="dxa" w:w="312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center"/>
            </w:pPr>
            <w:r>
              <w:rPr>
                <w:b/>
                <w:bCs/>
                <w:color w:val="FFFFFF"/>
                <w:sz w:val="20"/>
                <w:szCs w:val="20"/>
              </w:rPr>
              <w:t xml:space="preserve">Coeficiente</w:t>
            </w:r>
          </w:p>
        </w:tc>
        <w:tc>
          <w:tcPr>
            <w:tcW w:type="dxa" w:w="312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center"/>
            </w:pPr>
            <w:r>
              <w:rPr>
                <w:b/>
                <w:bCs/>
                <w:color w:val="FFFFFF"/>
                <w:sz w:val="20"/>
                <w:szCs w:val="20"/>
              </w:rPr>
              <w:t xml:space="preserve">Interpretación</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b w:val="false"/>
                <w:bCs w:val="false"/>
                <w:color w:val="000000"/>
                <w:sz w:val="20"/>
                <w:szCs w:val="20"/>
              </w:rPr>
              <w:t xml:space="preserve">Intercepto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3,985.78</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b w:val="false"/>
                <w:bCs w:val="false"/>
                <w:color w:val="000000"/>
                <w:sz w:val="20"/>
                <w:szCs w:val="20"/>
              </w:rPr>
              <w:t xml:space="preserve">Precio base estimado del dólar en el día 0.</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b w:val="false"/>
                <w:bCs w:val="false"/>
                <w:color w:val="000000"/>
                <w:sz w:val="20"/>
                <w:szCs w:val="20"/>
              </w:rPr>
              <w:t xml:space="preserve">Dia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+4.9843</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b w:val="false"/>
                <w:bCs w:val="false"/>
                <w:color w:val="000000"/>
                <w:sz w:val="20"/>
                <w:szCs w:val="20"/>
              </w:rPr>
              <w:t xml:space="preserve">Cada día adicional incrementa el precio en ~4.98 COP.</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b w:val="false"/>
                <w:bCs w:val="false"/>
                <w:color w:val="000000"/>
                <w:sz w:val="20"/>
                <w:szCs w:val="20"/>
              </w:rPr>
              <w:t xml:space="preserve">Inflacion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-870.73</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b w:val="false"/>
                <w:bCs w:val="false"/>
                <w:color w:val="000000"/>
                <w:sz w:val="20"/>
                <w:szCs w:val="20"/>
              </w:rPr>
              <w:t xml:space="preserve">Mayor inflación reduce el precio (correlación inversa).</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b w:val="false"/>
                <w:bCs w:val="false"/>
                <w:color w:val="000000"/>
                <w:sz w:val="20"/>
                <w:szCs w:val="20"/>
              </w:rPr>
              <w:t xml:space="preserve">Tasa_interes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-1.38</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b w:val="false"/>
                <w:bCs w:val="false"/>
                <w:color w:val="000000"/>
                <w:sz w:val="20"/>
                <w:szCs w:val="20"/>
              </w:rPr>
              <w:t xml:space="preserve">Efecto pequeño negativo de la tasa sobre el precio.</w:t>
            </w:r>
          </w:p>
        </w:tc>
      </w:tr>
    </w:tbl>
    <w:p/>
    <w:p>
      <w:pPr>
        <w:pStyle w:val="Heading2"/>
      </w:pPr>
      <w:r>
        <w:rPr>
          <w:b/>
          <w:bCs/>
          <w:color w:val="1565C0"/>
          <w:sz w:val="26"/>
          <w:szCs w:val="26"/>
        </w:rPr>
        <w:t xml:space="preserve">3.3 Evaluación del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234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center"/>
            </w:pPr>
            <w:r>
              <w:rPr>
                <w:b/>
                <w:bCs/>
                <w:color w:val="FFFFFF"/>
                <w:sz w:val="20"/>
                <w:szCs w:val="20"/>
              </w:rPr>
              <w:t xml:space="preserve">Modelo</w:t>
            </w:r>
          </w:p>
        </w:tc>
        <w:tc>
          <w:tcPr>
            <w:tcW w:type="dxa" w:w="234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center"/>
            </w:pPr>
            <w:r>
              <w:rPr>
                <w:b/>
                <w:bCs/>
                <w:color w:val="FFFFFF"/>
                <w:sz w:val="20"/>
                <w:szCs w:val="20"/>
              </w:rPr>
              <w:t xml:space="preserve">MSE</w:t>
            </w:r>
          </w:p>
        </w:tc>
        <w:tc>
          <w:tcPr>
            <w:tcW w:type="dxa" w:w="234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center"/>
            </w:pPr>
            <w:r>
              <w:rPr>
                <w:b/>
                <w:bCs/>
                <w:color w:val="FFFFFF"/>
                <w:sz w:val="20"/>
                <w:szCs w:val="20"/>
              </w:rPr>
              <w:t xml:space="preserve">RMSE</w:t>
            </w:r>
          </w:p>
        </w:tc>
        <w:tc>
          <w:tcPr>
            <w:tcW w:type="dxa" w:w="234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center"/>
            </w:pPr>
            <w:r>
              <w:rPr>
                <w:b/>
                <w:bCs/>
                <w:color w:val="FFFFFF"/>
                <w:sz w:val="20"/>
                <w:szCs w:val="20"/>
              </w:rPr>
              <w:t xml:space="preserve">R²</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b w:val="false"/>
                <w:bCs w:val="false"/>
                <w:color w:val="000000"/>
                <w:sz w:val="20"/>
                <w:szCs w:val="20"/>
              </w:rPr>
              <w:t xml:space="preserve">Precio Dólar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2,376.97</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b w:val="false"/>
                <w:bCs w:val="false"/>
                <w:color w:val="000000"/>
                <w:sz w:val="20"/>
                <w:szCs w:val="20"/>
              </w:rPr>
              <w:t xml:space="preserve">48.75 COP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0.9963</w:t>
            </w:r>
          </w:p>
        </w:tc>
      </w:tr>
    </w:tbl>
    <w:p/>
    <w:p>
      <w:pPr>
        <w:spacing w:after="60" w:before="60"/>
      </w:pPr>
      <w:r>
        <w:rPr>
          <w:sz w:val="22"/>
          <w:szCs w:val="22"/>
        </w:rPr>
        <w:t xml:space="preserve">Con un R² de 0.9963, el modelo explica el 99.63% de la varianza del precio del dólar. El RMSE de 48.75 COP es muy bajo en relación al rango de precios (&gt;2,600 COP), indicando un excelente ajuste. El Día es la variable con mayor poder predictivo por su correlación lineal directa con el precio.</w:t>
      </w:r>
    </w:p>
    <w:p>
      <w:pPr>
        <w:pStyle w:val="Heading2"/>
      </w:pPr>
      <w:r>
        <w:rPr>
          <w:b/>
          <w:bCs/>
          <w:color w:val="1565C0"/>
          <w:sz w:val="26"/>
          <w:szCs w:val="26"/>
        </w:rPr>
        <w:t xml:space="preserve">3.4 Análisis de Resultados</w:t>
      </w:r>
    </w:p>
    <w:p>
      <w:pPr>
        <w:spacing w:after="60" w:before="60"/>
      </w:pPr>
      <w:r>
        <w:rPr>
          <w:sz w:val="22"/>
          <w:szCs w:val="22"/>
        </w:rPr>
        <w:t xml:space="preserve">La variable Dia tiene la relación más directa y positiva con el Precio_Dolar: a mayor tiempo, mayor precio, reflejando tendencia inflacionaria. La Inflacion diaria muestra una relación inversa, posiblemente porque en el corto plazo el banco central ajusta tasas para controlarla. La Tasa_interes tiene un efecto marginal negativo.</w:t>
      </w:r>
    </w:p>
    <w:p>
      <w:r>
        <w:br w:type="page"/>
      </w:r>
    </w:p>
    <w:p>
      <w:pPr>
        <w:pStyle w:val="Heading1"/>
      </w:pPr>
      <w:r>
        <w:rPr>
          <w:b/>
          <w:bCs/>
          <w:color w:val="1a237e"/>
          <w:sz w:val="32"/>
          <w:szCs w:val="32"/>
        </w:rPr>
        <w:t xml:space="preserve">4. Ejercicio 2: Predicción del Nivel de Glucosa</w:t>
      </w:r>
    </w:p>
    <w:p>
      <w:pPr>
        <w:pStyle w:val="Heading2"/>
      </w:pPr>
      <w:r>
        <w:rPr>
          <w:b/>
          <w:bCs/>
          <w:color w:val="1565C0"/>
          <w:sz w:val="26"/>
          <w:szCs w:val="26"/>
        </w:rPr>
        <w:t xml:space="preserve">4.1 Comprensión y Exploración de Datos</w:t>
      </w:r>
    </w:p>
    <w:p>
      <w:pPr>
        <w:spacing w:after="60" w:before="60"/>
      </w:pPr>
      <w:r>
        <w:rPr>
          <w:sz w:val="22"/>
          <w:szCs w:val="22"/>
        </w:rPr>
        <w:t xml:space="preserve">Dataset: glucosa_data.csv — 2,000 registros con 4 variables.</w:t>
      </w:r>
    </w:p>
    <w:p>
      <w:pPr>
        <w:pStyle w:val="ListParagraph"/>
        <w:numPr>
          <w:ilvl w:val="0"/>
          <w:numId w:val="2"/>
        </w:numPr>
      </w:pPr>
      <w:r>
        <w:rPr>
          <w:sz w:val="22"/>
          <w:szCs w:val="22"/>
        </w:rPr>
        <w:t xml:space="preserve">Edad: 20–79 años, media 49.2 años.</w:t>
      </w:r>
    </w:p>
    <w:p>
      <w:pPr>
        <w:pStyle w:val="ListParagraph"/>
        <w:numPr>
          <w:ilvl w:val="0"/>
          <w:numId w:val="2"/>
        </w:numPr>
      </w:pPr>
      <w:r>
        <w:rPr>
          <w:sz w:val="22"/>
          <w:szCs w:val="22"/>
        </w:rPr>
        <w:t xml:space="preserve">IMC: 10.6–39.4 kg/m², media 24.96.</w:t>
      </w:r>
    </w:p>
    <w:p>
      <w:pPr>
        <w:pStyle w:val="ListParagraph"/>
        <w:numPr>
          <w:ilvl w:val="0"/>
          <w:numId w:val="2"/>
        </w:numPr>
      </w:pPr>
      <w:r>
        <w:rPr>
          <w:sz w:val="22"/>
          <w:szCs w:val="22"/>
        </w:rPr>
        <w:t xml:space="preserve">Actividad_Fisica: 0–9 horas/semana de ejercicio, media 4.66 h.</w:t>
      </w:r>
    </w:p>
    <w:p>
      <w:pPr>
        <w:pStyle w:val="ListParagraph"/>
        <w:numPr>
          <w:ilvl w:val="0"/>
          <w:numId w:val="2"/>
        </w:numPr>
      </w:pPr>
      <w:r>
        <w:rPr>
          <w:sz w:val="22"/>
          <w:szCs w:val="22"/>
        </w:rPr>
        <w:t xml:space="preserve">Nivel_Glucosa (variable dependiente): 43–228 mg/dL, media 139.6 mg/dL.</w:t>
      </w:r>
    </w:p>
    <w:p/>
    <w:p>
      <w:pPr>
        <w:pStyle w:val="Heading2"/>
      </w:pPr>
      <w:r>
        <w:rPr>
          <w:b/>
          <w:bCs/>
          <w:color w:val="1565C0"/>
          <w:sz w:val="26"/>
          <w:szCs w:val="26"/>
        </w:rPr>
        <w:t xml:space="preserve">4.2 Modelo y Coeficientes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4160"/>
      </w:tblGrid>
      <w:tr>
        <w:tc>
          <w:tcPr>
            <w:tcW w:type="dxa" w:w="312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center"/>
            </w:pPr>
            <w:r>
              <w:rPr>
                <w:b/>
                <w:bCs/>
                <w:color w:val="FFFFFF"/>
                <w:sz w:val="20"/>
                <w:szCs w:val="20"/>
              </w:rPr>
              <w:t xml:space="preserve">Variable</w:t>
            </w:r>
          </w:p>
        </w:tc>
        <w:tc>
          <w:tcPr>
            <w:tcW w:type="dxa" w:w="312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center"/>
            </w:pPr>
            <w:r>
              <w:rPr>
                <w:b/>
                <w:bCs/>
                <w:color w:val="FFFFFF"/>
                <w:sz w:val="20"/>
                <w:szCs w:val="20"/>
              </w:rPr>
              <w:t xml:space="preserve">Coeficiente</w:t>
            </w:r>
          </w:p>
        </w:tc>
        <w:tc>
          <w:tcPr>
            <w:tcW w:type="dxa" w:w="312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center"/>
            </w:pPr>
            <w:r>
              <w:rPr>
                <w:b/>
                <w:bCs/>
                <w:color w:val="FFFFFF"/>
                <w:sz w:val="20"/>
                <w:szCs w:val="20"/>
              </w:rPr>
              <w:t xml:space="preserve">Interpretación</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b w:val="false"/>
                <w:bCs w:val="false"/>
                <w:color w:val="000000"/>
                <w:sz w:val="20"/>
                <w:szCs w:val="20"/>
              </w:rPr>
              <w:t xml:space="preserve">Intercepto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65.86</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b w:val="false"/>
                <w:bCs w:val="false"/>
                <w:color w:val="000000"/>
                <w:sz w:val="20"/>
                <w:szCs w:val="20"/>
              </w:rPr>
              <w:t xml:space="preserve">Nivel base de glucosa para las condiciones mínimas.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b w:val="false"/>
                <w:bCs w:val="false"/>
                <w:color w:val="000000"/>
                <w:sz w:val="20"/>
                <w:szCs w:val="20"/>
              </w:rPr>
              <w:t xml:space="preserve">Edad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+1.2266</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b w:val="false"/>
                <w:bCs w:val="false"/>
                <w:color w:val="000000"/>
                <w:sz w:val="20"/>
                <w:szCs w:val="20"/>
              </w:rPr>
              <w:t xml:space="preserve">Cada año adicional aumenta la glucosa 1.23 mg/dL.</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b w:val="false"/>
                <w:bCs w:val="false"/>
                <w:color w:val="000000"/>
                <w:sz w:val="20"/>
                <w:szCs w:val="20"/>
              </w:rPr>
              <w:t xml:space="preserve">IMC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+0.9334</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b w:val="false"/>
                <w:bCs w:val="false"/>
                <w:color w:val="000000"/>
                <w:sz w:val="20"/>
                <w:szCs w:val="20"/>
              </w:rPr>
              <w:t xml:space="preserve">Una unidad más de IMC incrementa la glucosa 0.93 mg/dL.</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b w:val="false"/>
                <w:bCs w:val="false"/>
                <w:color w:val="000000"/>
                <w:sz w:val="20"/>
                <w:szCs w:val="20"/>
              </w:rPr>
              <w:t xml:space="preserve">Actividad_Fisica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-2.0853</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b w:val="false"/>
                <w:bCs w:val="false"/>
                <w:color w:val="000000"/>
                <w:sz w:val="20"/>
                <w:szCs w:val="20"/>
              </w:rPr>
              <w:t xml:space="preserve">Una hora más de ejercicio reduce la glucosa 2.09 mg/dL.</w:t>
            </w:r>
          </w:p>
        </w:tc>
      </w:tr>
    </w:tbl>
    <w:p/>
    <w:p>
      <w:pPr>
        <w:pStyle w:val="Heading2"/>
      </w:pPr>
      <w:r>
        <w:rPr>
          <w:b/>
          <w:bCs/>
          <w:color w:val="1565C0"/>
          <w:sz w:val="26"/>
          <w:szCs w:val="26"/>
        </w:rPr>
        <w:t xml:space="preserve">4.3 Evaluación e Importancia de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234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center"/>
            </w:pPr>
            <w:r>
              <w:rPr>
                <w:b/>
                <w:bCs/>
                <w:color w:val="FFFFFF"/>
                <w:sz w:val="20"/>
                <w:szCs w:val="20"/>
              </w:rPr>
              <w:t xml:space="preserve">Modelo</w:t>
            </w:r>
          </w:p>
        </w:tc>
        <w:tc>
          <w:tcPr>
            <w:tcW w:type="dxa" w:w="234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center"/>
            </w:pPr>
            <w:r>
              <w:rPr>
                <w:b/>
                <w:bCs/>
                <w:color w:val="FFFFFF"/>
                <w:sz w:val="20"/>
                <w:szCs w:val="20"/>
              </w:rPr>
              <w:t xml:space="preserve">MSE</w:t>
            </w:r>
          </w:p>
        </w:tc>
        <w:tc>
          <w:tcPr>
            <w:tcW w:type="dxa" w:w="234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center"/>
            </w:pPr>
            <w:r>
              <w:rPr>
                <w:b/>
                <w:bCs/>
                <w:color w:val="FFFFFF"/>
                <w:sz w:val="20"/>
                <w:szCs w:val="20"/>
              </w:rPr>
              <w:t xml:space="preserve">RMSE</w:t>
            </w:r>
          </w:p>
        </w:tc>
        <w:tc>
          <w:tcPr>
            <w:tcW w:type="dxa" w:w="234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center"/>
            </w:pPr>
            <w:r>
              <w:rPr>
                <w:b/>
                <w:bCs/>
                <w:color w:val="FFFFFF"/>
                <w:sz w:val="20"/>
                <w:szCs w:val="20"/>
              </w:rPr>
              <w:t xml:space="preserve">R²</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b w:val="false"/>
                <w:bCs w:val="false"/>
                <w:color w:val="000000"/>
                <w:sz w:val="20"/>
                <w:szCs w:val="20"/>
              </w:rPr>
              <w:t xml:space="preserve">Nivel Glucosa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233.69</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b w:val="false"/>
                <w:bCs w:val="false"/>
                <w:color w:val="000000"/>
                <w:sz w:val="20"/>
                <w:szCs w:val="20"/>
              </w:rPr>
              <w:t xml:space="preserve">15.29 mg/dL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0.6814</w:t>
            </w:r>
          </w:p>
        </w:tc>
      </w:tr>
    </w:tbl>
    <w:p/>
    <w:p>
      <w:pPr>
        <w:spacing w:after="60" w:before="60"/>
      </w:pPr>
      <w:r>
        <w:rPr>
          <w:sz w:val="22"/>
          <w:szCs w:val="22"/>
        </w:rPr>
        <w:t xml:space="preserve">El R² de 0.6814 indica que el modelo explica el 68.14% de la varianza, un nivel aceptable para datos biomédicos con alta variabilidad individual. Para determinar la variable de mayor impacto se usaron coeficientes estandarizados: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312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center"/>
            </w:pPr>
            <w:r>
              <w:rPr>
                <w:b/>
                <w:bCs/>
                <w:color w:val="FFFFFF"/>
                <w:sz w:val="20"/>
                <w:szCs w:val="20"/>
              </w:rPr>
              <w:t xml:space="preserve">Variable</w:t>
            </w:r>
          </w:p>
        </w:tc>
        <w:tc>
          <w:tcPr>
            <w:tcW w:type="dxa" w:w="312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center"/>
            </w:pPr>
            <w:r>
              <w:rPr>
                <w:b/>
                <w:bCs/>
                <w:color w:val="FFFFFF"/>
                <w:sz w:val="20"/>
                <w:szCs w:val="20"/>
              </w:rPr>
              <w:t xml:space="preserve">Coef. Estandarizado</w:t>
            </w:r>
          </w:p>
        </w:tc>
        <w:tc>
          <w:tcPr>
            <w:tcW w:type="dxa" w:w="312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center"/>
            </w:pPr>
            <w:r>
              <w:rPr>
                <w:b/>
                <w:bCs/>
                <w:color w:val="FFFFFF"/>
                <w:sz w:val="20"/>
                <w:szCs w:val="20"/>
              </w:rPr>
              <w:t xml:space="preserve">Importancia</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b w:val="false"/>
                <w:bCs w:val="false"/>
                <w:color w:val="000000"/>
                <w:sz w:val="20"/>
                <w:szCs w:val="20"/>
              </w:rPr>
              <w:t xml:space="preserve">Edad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21.64</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b w:val="false"/>
                <w:bCs w:val="false"/>
                <w:color w:val="000000"/>
                <w:sz w:val="20"/>
                <w:szCs w:val="20"/>
              </w:rPr>
              <w:t xml:space="preserve">★ Mayor impacto</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b w:val="false"/>
                <w:bCs w:val="false"/>
                <w:color w:val="000000"/>
                <w:sz w:val="20"/>
                <w:szCs w:val="20"/>
              </w:rPr>
              <w:t xml:space="preserve">Actividad_Fisica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5.85</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b w:val="false"/>
                <w:bCs w:val="false"/>
                <w:color w:val="000000"/>
                <w:sz w:val="20"/>
                <w:szCs w:val="20"/>
              </w:rPr>
              <w:t xml:space="preserve">2° impacto</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b w:val="false"/>
                <w:bCs w:val="false"/>
                <w:color w:val="000000"/>
                <w:sz w:val="20"/>
                <w:szCs w:val="20"/>
              </w:rPr>
              <w:t xml:space="preserve">IMC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3.52</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b w:val="false"/>
                <w:bCs w:val="false"/>
                <w:color w:val="000000"/>
                <w:sz w:val="20"/>
                <w:szCs w:val="20"/>
              </w:rPr>
              <w:t xml:space="preserve">3° impacto</w:t>
            </w:r>
          </w:p>
        </w:tc>
      </w:tr>
    </w:tbl>
    <w:p/>
    <w:p>
      <w:pPr>
        <w:spacing w:after="60" w:before="60"/>
      </w:pPr>
      <w:r>
        <w:rPr>
          <w:sz w:val="22"/>
          <w:szCs w:val="22"/>
        </w:rPr>
        <w:t xml:space="preserve">La Edad es la variable con mayor impacto en el nivel de glucosa (coeficiente estandarizado 21.64), seguida de la Actividad_Fisica. Esto coincide con la evidencia médica: con la edad aumenta la resistencia a la insulina, mientras el ejercicio mejora la sensibilidad celular a la glucosa.</w:t>
      </w:r>
    </w:p>
    <w:p>
      <w:pPr>
        <w:pStyle w:val="Heading2"/>
      </w:pPr>
      <w:r>
        <w:rPr>
          <w:b/>
          <w:bCs/>
          <w:color w:val="1565C0"/>
          <w:sz w:val="26"/>
          <w:szCs w:val="26"/>
        </w:rPr>
        <w:t xml:space="preserve">4.4 Análisis de Resultados</w:t>
      </w:r>
    </w:p>
    <w:p>
      <w:pPr>
        <w:spacing w:after="60" w:before="60"/>
      </w:pPr>
      <w:r>
        <w:rPr>
          <w:sz w:val="22"/>
          <w:szCs w:val="22"/>
        </w:rPr>
        <w:t xml:space="preserve">Los signos de los coeficientes son coherentes con la fisiología: edad e IMC elevan la glucosa, mientras la actividad física la reduce. El modelo puede ser útil como herramienta de screening preventivo, aunque para diagnóstico clínico requeriría variables adicionales como antecedentes familiares y dieta.</w:t>
      </w:r>
    </w:p>
    <w:p>
      <w:r>
        <w:br w:type="page"/>
      </w:r>
    </w:p>
    <w:p>
      <w:pPr>
        <w:pStyle w:val="Heading1"/>
      </w:pPr>
      <w:r>
        <w:rPr>
          <w:b/>
          <w:bCs/>
          <w:color w:val="1a237e"/>
          <w:sz w:val="32"/>
          <w:szCs w:val="32"/>
        </w:rPr>
        <w:t xml:space="preserve">5. Ejercicio 3: Predicción del Consumo de Energía</w:t>
      </w:r>
    </w:p>
    <w:p>
      <w:pPr>
        <w:pStyle w:val="Heading2"/>
      </w:pPr>
      <w:r>
        <w:rPr>
          <w:b/>
          <w:bCs/>
          <w:color w:val="1565C0"/>
          <w:sz w:val="26"/>
          <w:szCs w:val="26"/>
        </w:rPr>
        <w:t xml:space="preserve">5.1 Comprensión y Exploración de Datos</w:t>
      </w:r>
    </w:p>
    <w:p>
      <w:pPr>
        <w:spacing w:after="60" w:before="60"/>
      </w:pPr>
      <w:r>
        <w:rPr>
          <w:sz w:val="22"/>
          <w:szCs w:val="22"/>
        </w:rPr>
        <w:t xml:space="preserve">Dataset: energia_data.csv — 10,000 registros con 4 variables.</w:t>
      </w:r>
    </w:p>
    <w:p>
      <w:pPr>
        <w:pStyle w:val="ListParagraph"/>
        <w:numPr>
          <w:ilvl w:val="0"/>
          <w:numId w:val="2"/>
        </w:numPr>
      </w:pPr>
      <w:r>
        <w:rPr>
          <w:sz w:val="22"/>
          <w:szCs w:val="22"/>
        </w:rPr>
        <w:t xml:space="preserve">Temperatura: 5.4–44.6°C, media 24.9°C.</w:t>
      </w:r>
    </w:p>
    <w:p>
      <w:pPr>
        <w:pStyle w:val="ListParagraph"/>
        <w:numPr>
          <w:ilvl w:val="0"/>
          <w:numId w:val="2"/>
        </w:numPr>
      </w:pPr>
      <w:r>
        <w:rPr>
          <w:sz w:val="22"/>
          <w:szCs w:val="22"/>
        </w:rPr>
        <w:t xml:space="preserve">Hora: 1–24 (hora del día), media 12.5.</w:t>
      </w:r>
    </w:p>
    <w:p>
      <w:pPr>
        <w:pStyle w:val="ListParagraph"/>
        <w:numPr>
          <w:ilvl w:val="0"/>
          <w:numId w:val="2"/>
        </w:numPr>
      </w:pPr>
      <w:r>
        <w:rPr>
          <w:sz w:val="22"/>
          <w:szCs w:val="22"/>
        </w:rPr>
        <w:t xml:space="preserve">Dia_Semana: 1=Lunes a 7=Domingo, media 4.0.</w:t>
      </w:r>
    </w:p>
    <w:p>
      <w:pPr>
        <w:pStyle w:val="ListParagraph"/>
        <w:numPr>
          <w:ilvl w:val="0"/>
          <w:numId w:val="2"/>
        </w:numPr>
      </w:pPr>
      <w:r>
        <w:rPr>
          <w:sz w:val="22"/>
          <w:szCs w:val="22"/>
        </w:rPr>
        <w:t xml:space="preserve">Consumo_Energia (variable dependiente): 185–631 kWh, media 400 kWh.</w:t>
      </w:r>
    </w:p>
    <w:p/>
    <w:p>
      <w:pPr>
        <w:pStyle w:val="Heading2"/>
      </w:pPr>
      <w:r>
        <w:rPr>
          <w:b/>
          <w:bCs/>
          <w:color w:val="1565C0"/>
          <w:sz w:val="26"/>
          <w:szCs w:val="26"/>
        </w:rPr>
        <w:t xml:space="preserve">5.2 Modelo y Coeficientes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4160"/>
      </w:tblGrid>
      <w:tr>
        <w:tc>
          <w:tcPr>
            <w:tcW w:type="dxa" w:w="312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center"/>
            </w:pPr>
            <w:r>
              <w:rPr>
                <w:b/>
                <w:bCs/>
                <w:color w:val="FFFFFF"/>
                <w:sz w:val="20"/>
                <w:szCs w:val="20"/>
              </w:rPr>
              <w:t xml:space="preserve">Variable</w:t>
            </w:r>
          </w:p>
        </w:tc>
        <w:tc>
          <w:tcPr>
            <w:tcW w:type="dxa" w:w="312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center"/>
            </w:pPr>
            <w:r>
              <w:rPr>
                <w:b/>
                <w:bCs/>
                <w:color w:val="FFFFFF"/>
                <w:sz w:val="20"/>
                <w:szCs w:val="20"/>
              </w:rPr>
              <w:t xml:space="preserve">Coeficiente</w:t>
            </w:r>
          </w:p>
        </w:tc>
        <w:tc>
          <w:tcPr>
            <w:tcW w:type="dxa" w:w="312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center"/>
            </w:pPr>
            <w:r>
              <w:rPr>
                <w:b/>
                <w:bCs/>
                <w:color w:val="FFFFFF"/>
                <w:sz w:val="20"/>
                <w:szCs w:val="20"/>
              </w:rPr>
              <w:t xml:space="preserve">Interpretación</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b w:val="false"/>
                <w:bCs w:val="false"/>
                <w:color w:val="000000"/>
                <w:sz w:val="20"/>
                <w:szCs w:val="20"/>
              </w:rPr>
              <w:t xml:space="preserve">Intercepto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101.29</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b w:val="false"/>
                <w:bCs w:val="false"/>
                <w:color w:val="000000"/>
                <w:sz w:val="20"/>
                <w:szCs w:val="20"/>
              </w:rPr>
              <w:t xml:space="preserve">Consumo base en condiciones mínimas.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b w:val="false"/>
                <w:bCs w:val="false"/>
                <w:color w:val="000000"/>
                <w:sz w:val="20"/>
                <w:szCs w:val="20"/>
              </w:rPr>
              <w:t xml:space="preserve">Temperatura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+9.9529</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b w:val="false"/>
                <w:bCs w:val="false"/>
                <w:color w:val="000000"/>
                <w:sz w:val="20"/>
                <w:szCs w:val="20"/>
              </w:rPr>
              <w:t xml:space="preserve">Cada °C adicional incrementa el consumo 9.95 kWh.</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b w:val="false"/>
                <w:bCs w:val="false"/>
                <w:color w:val="000000"/>
                <w:sz w:val="20"/>
                <w:szCs w:val="20"/>
              </w:rPr>
              <w:t xml:space="preserve">Hora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+5.0198</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b w:val="false"/>
                <w:bCs w:val="false"/>
                <w:color w:val="000000"/>
                <w:sz w:val="20"/>
                <w:szCs w:val="20"/>
              </w:rPr>
              <w:t xml:space="preserve">Cada hora avanzada del día aumenta el consumo 5.02 kWh.</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b w:val="false"/>
                <w:bCs w:val="false"/>
                <w:color w:val="000000"/>
                <w:sz w:val="20"/>
                <w:szCs w:val="20"/>
              </w:rPr>
              <w:t xml:space="preserve">Dia_Semana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-3.0312</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b w:val="false"/>
                <w:bCs w:val="false"/>
                <w:color w:val="000000"/>
                <w:sz w:val="20"/>
                <w:szCs w:val="20"/>
              </w:rPr>
              <w:t xml:space="preserve">Días posteriores en la semana tienen menor consumo.</w:t>
            </w:r>
          </w:p>
        </w:tc>
      </w:tr>
    </w:tbl>
    <w:p/>
    <w:p>
      <w:pPr>
        <w:pStyle w:val="Heading2"/>
      </w:pPr>
      <w:r>
        <w:rPr>
          <w:b/>
          <w:bCs/>
          <w:color w:val="1565C0"/>
          <w:sz w:val="26"/>
          <w:szCs w:val="26"/>
        </w:rPr>
        <w:t xml:space="preserve">5.3 Evaluación e Importancia de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234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center"/>
            </w:pPr>
            <w:r>
              <w:rPr>
                <w:b/>
                <w:bCs/>
                <w:color w:val="FFFFFF"/>
                <w:sz w:val="20"/>
                <w:szCs w:val="20"/>
              </w:rPr>
              <w:t xml:space="preserve">Modelo</w:t>
            </w:r>
          </w:p>
        </w:tc>
        <w:tc>
          <w:tcPr>
            <w:tcW w:type="dxa" w:w="234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center"/>
            </w:pPr>
            <w:r>
              <w:rPr>
                <w:b/>
                <w:bCs/>
                <w:color w:val="FFFFFF"/>
                <w:sz w:val="20"/>
                <w:szCs w:val="20"/>
              </w:rPr>
              <w:t xml:space="preserve">MSE</w:t>
            </w:r>
          </w:p>
        </w:tc>
        <w:tc>
          <w:tcPr>
            <w:tcW w:type="dxa" w:w="234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center"/>
            </w:pPr>
            <w:r>
              <w:rPr>
                <w:b/>
                <w:bCs/>
                <w:color w:val="FFFFFF"/>
                <w:sz w:val="20"/>
                <w:szCs w:val="20"/>
              </w:rPr>
              <w:t xml:space="preserve">RMSE</w:t>
            </w:r>
          </w:p>
        </w:tc>
        <w:tc>
          <w:tcPr>
            <w:tcW w:type="dxa" w:w="234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center"/>
            </w:pPr>
            <w:r>
              <w:rPr>
                <w:b/>
                <w:bCs/>
                <w:color w:val="FFFFFF"/>
                <w:sz w:val="20"/>
                <w:szCs w:val="20"/>
              </w:rPr>
              <w:t xml:space="preserve">R²</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b w:val="false"/>
                <w:bCs w:val="false"/>
                <w:color w:val="000000"/>
                <w:sz w:val="20"/>
                <w:szCs w:val="20"/>
              </w:rPr>
              <w:t xml:space="preserve">Consumo Energía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429.52</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b w:val="false"/>
                <w:bCs w:val="false"/>
                <w:color w:val="000000"/>
                <w:sz w:val="20"/>
                <w:szCs w:val="20"/>
              </w:rPr>
              <w:t xml:space="preserve">20.72 kWh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0.8968</w:t>
            </w:r>
          </w:p>
        </w:tc>
      </w:tr>
    </w:tbl>
    <w:p/>
    <w:p>
      <w:pPr>
        <w:spacing w:after="60" w:before="60"/>
      </w:pPr>
      <w:r>
        <w:rPr>
          <w:sz w:val="22"/>
          <w:szCs w:val="22"/>
        </w:rPr>
        <w:t xml:space="preserve">El R² de 0.8968 indica que el modelo explica el 89.68% de la varianza del consumo eléctrico. La variable de mayor impacto es la Temperatura (coeficiente estandarizado 49.87), seguida de la Hora (34.69) y Dia_Semana (6.18).</w:t>
      </w:r>
    </w:p>
    <w:p>
      <w:pPr>
        <w:spacing w:after="60" w:before="60"/>
      </w:pPr>
      <w:r>
        <w:rPr>
          <w:sz w:val="22"/>
          <w:szCs w:val="22"/>
        </w:rPr>
        <w:t xml:space="preserve">Temperatura domina porque en climas cálidos el aire acondicionado representa el mayor consumo eléctrico residencial e industrial. La Hora tiene impacto significativo por los picos de demanda diurnos.</w:t>
      </w:r>
    </w:p>
    <w:p>
      <w:pPr>
        <w:pStyle w:val="Heading2"/>
      </w:pPr>
      <w:r>
        <w:rPr>
          <w:b/>
          <w:bCs/>
          <w:color w:val="1565C0"/>
          <w:sz w:val="26"/>
          <w:szCs w:val="26"/>
        </w:rPr>
        <w:t xml:space="preserve">5.4 Análisis de Resultados</w:t>
      </w:r>
    </w:p>
    <w:p>
      <w:pPr>
        <w:spacing w:after="60" w:before="60"/>
      </w:pPr>
      <w:r>
        <w:rPr>
          <w:sz w:val="22"/>
          <w:szCs w:val="22"/>
        </w:rPr>
        <w:t xml:space="preserve">El modelo tiene el R² más alto entre los tres ejercicios (0.8968), lo que indica que las variables seleccionadas capturan bien los patrones de consumo eléctrico. Este tipo de modelos es utilizado por empresas de distribución eléctrica para anticipar demanda y optimizar la generación.</w:t>
      </w:r>
    </w:p>
    <w:p>
      <w:r>
        <w:br w:type="page"/>
      </w:r>
    </w:p>
    <w:p>
      <w:pPr>
        <w:pStyle w:val="Heading1"/>
      </w:pPr>
      <w:r>
        <w:rPr>
          <w:b/>
          <w:bCs/>
          <w:color w:val="1a237e"/>
          <w:sz w:val="32"/>
          <w:szCs w:val="32"/>
        </w:rPr>
        <w:t xml:space="preserve">6. Exportación de Modelos</w:t>
      </w:r>
    </w:p>
    <w:p>
      <w:pPr>
        <w:spacing w:after="60" w:before="60"/>
      </w:pPr>
      <w:r>
        <w:rPr>
          <w:sz w:val="22"/>
          <w:szCs w:val="22"/>
        </w:rPr>
        <w:t xml:space="preserve">Los tres modelos fueron serializados usando joblib, biblioteca recomendada para modelos scikit-learn por su eficiencia con arrays NumPy: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312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center"/>
            </w:pPr>
            <w:r>
              <w:rPr>
                <w:b/>
                <w:bCs/>
                <w:color w:val="FFFFFF"/>
                <w:sz w:val="20"/>
                <w:szCs w:val="20"/>
              </w:rPr>
              <w:t xml:space="preserve">Archivo</w:t>
            </w:r>
          </w:p>
        </w:tc>
        <w:tc>
          <w:tcPr>
            <w:tcW w:type="dxa" w:w="312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center"/>
            </w:pPr>
            <w:r>
              <w:rPr>
                <w:b/>
                <w:bCs/>
                <w:color w:val="FFFFFF"/>
                <w:sz w:val="20"/>
                <w:szCs w:val="20"/>
              </w:rPr>
              <w:t xml:space="preserve">Tamaño aprox.</w:t>
            </w:r>
          </w:p>
        </w:tc>
        <w:tc>
          <w:tcPr>
            <w:tcW w:type="dxa" w:w="312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center"/>
            </w:pPr>
            <w:r>
              <w:rPr>
                <w:b/>
                <w:bCs/>
                <w:color w:val="FFFFFF"/>
                <w:sz w:val="20"/>
                <w:szCs w:val="20"/>
              </w:rPr>
              <w:t xml:space="preserve">R²</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b w:val="false"/>
                <w:bCs w:val="false"/>
                <w:color w:val="000000"/>
                <w:sz w:val="20"/>
                <w:szCs w:val="20"/>
              </w:rPr>
              <w:t xml:space="preserve">modelos/modelo_dolar.joblib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~5 KB</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b w:val="false"/>
                <w:bCs w:val="false"/>
                <w:color w:val="000000"/>
                <w:sz w:val="20"/>
                <w:szCs w:val="20"/>
              </w:rPr>
              <w:t xml:space="preserve">0.9963</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b w:val="false"/>
                <w:bCs w:val="false"/>
                <w:color w:val="000000"/>
                <w:sz w:val="20"/>
                <w:szCs w:val="20"/>
              </w:rPr>
              <w:t xml:space="preserve">modelos/modelo_glucosa.joblib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~5 KB</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b w:val="false"/>
                <w:bCs w:val="false"/>
                <w:color w:val="000000"/>
                <w:sz w:val="20"/>
                <w:szCs w:val="20"/>
              </w:rPr>
              <w:t xml:space="preserve">0.6814</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b w:val="false"/>
                <w:bCs w:val="false"/>
                <w:color w:val="000000"/>
                <w:sz w:val="20"/>
                <w:szCs w:val="20"/>
              </w:rPr>
              <w:t xml:space="preserve">modelos/modelo_energia.joblib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~5 KB</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b w:val="false"/>
                <w:bCs w:val="false"/>
                <w:color w:val="000000"/>
                <w:sz w:val="20"/>
                <w:szCs w:val="20"/>
              </w:rPr>
              <w:t xml:space="preserve">0.8968</w:t>
            </w:r>
          </w:p>
        </w:tc>
      </w:tr>
    </w:tbl>
    <w:p/>
    <w:p>
      <w:pPr>
        <w:spacing w:after="60" w:before="60"/>
      </w:pPr>
      <w:r>
        <w:rPr>
          <w:sz w:val="22"/>
          <w:szCs w:val="22"/>
        </w:rPr>
        <w:t xml:space="preserve">Para cargar un modelo guardado se usa: modelo = joblib.load('modelos/modelo_dolar.joblib') y luego prediccion = modelo.predict([[dia, inflacion, tasa]]).</w:t>
      </w:r>
    </w:p>
    <w:p>
      <w:pPr>
        <w:pStyle w:val="Heading1"/>
      </w:pPr>
      <w:r>
        <w:rPr>
          <w:b/>
          <w:bCs/>
          <w:color w:val="1a237e"/>
          <w:sz w:val="32"/>
          <w:szCs w:val="32"/>
        </w:rPr>
        <w:t xml:space="preserve">7. Interfaz Web con Streamlit</w:t>
      </w:r>
    </w:p>
    <w:p>
      <w:pPr>
        <w:spacing w:after="60" w:before="60"/>
      </w:pPr>
      <w:r>
        <w:rPr>
          <w:sz w:val="22"/>
          <w:szCs w:val="22"/>
        </w:rPr>
        <w:t xml:space="preserve">Se desarrolló una interfaz web interactiva con Streamlit que permite al usuario seleccionar cualquiera de los tres modelos, ingresar los valores de las variables independientes por teclado y obtener la predicción en pantalla.</w:t>
      </w:r>
    </w:p>
    <w:p>
      <w:pPr>
        <w:spacing w:after="60" w:before="60"/>
      </w:pPr>
      <w:r>
        <w:rPr>
          <w:sz w:val="22"/>
          <w:szCs w:val="22"/>
        </w:rPr>
        <w:t xml:space="preserve">Para ejecutar la aplicación:  streamlit run app.py</w:t>
      </w:r>
    </w:p>
    <w:p>
      <w:pPr>
        <w:spacing w:after="60" w:before="60"/>
      </w:pPr>
      <w:r>
        <w:rPr>
          <w:sz w:val="22"/>
          <w:szCs w:val="22"/>
        </w:rPr>
        <w:t xml:space="preserve">Características de la interfaz:</w:t>
      </w:r>
    </w:p>
    <w:p>
      <w:pPr>
        <w:pStyle w:val="ListParagraph"/>
        <w:numPr>
          <w:ilvl w:val="0"/>
          <w:numId w:val="2"/>
        </w:numPr>
      </w:pPr>
      <w:r>
        <w:rPr>
          <w:sz w:val="22"/>
          <w:szCs w:val="22"/>
        </w:rPr>
        <w:t xml:space="preserve">Selector de ejercicio (Dólar / Glucosa / Energía).</w:t>
      </w:r>
    </w:p>
    <w:p>
      <w:pPr>
        <w:pStyle w:val="ListParagraph"/>
        <w:numPr>
          <w:ilvl w:val="0"/>
          <w:numId w:val="2"/>
        </w:numPr>
      </w:pPr>
      <w:r>
        <w:rPr>
          <w:sz w:val="22"/>
          <w:szCs w:val="22"/>
        </w:rPr>
        <w:t xml:space="preserve">Campos de entrada con rangos y valores por defecto según el dataset.</w:t>
      </w:r>
    </w:p>
    <w:p>
      <w:pPr>
        <w:pStyle w:val="ListParagraph"/>
        <w:numPr>
          <w:ilvl w:val="0"/>
          <w:numId w:val="2"/>
        </w:numPr>
      </w:pPr>
      <w:r>
        <w:rPr>
          <w:sz w:val="22"/>
          <w:szCs w:val="22"/>
        </w:rPr>
        <w:t xml:space="preserve">Visualización del resultado con el valor predicho y una clasificación contextual (para glucosa: normal, elevado, muy alto).</w:t>
      </w:r>
    </w:p>
    <w:p>
      <w:pPr>
        <w:pStyle w:val="ListParagraph"/>
        <w:numPr>
          <w:ilvl w:val="0"/>
          <w:numId w:val="2"/>
        </w:numPr>
      </w:pPr>
      <w:r>
        <w:rPr>
          <w:sz w:val="22"/>
          <w:szCs w:val="22"/>
        </w:rPr>
        <w:t xml:space="preserve">Panel informativo con los métricas R² y RMSE del modelo seleccionado.</w:t>
      </w:r>
    </w:p>
    <w:p/>
    <w:p>
      <w:pPr>
        <w:pStyle w:val="Heading1"/>
      </w:pPr>
      <w:r>
        <w:rPr>
          <w:b/>
          <w:bCs/>
          <w:color w:val="1a237e"/>
          <w:sz w:val="32"/>
          <w:szCs w:val="32"/>
        </w:rPr>
        <w:t xml:space="preserve">8. Resumen Comparativo y Conclusiones</w:t>
      </w:r>
    </w:p>
    <w:p>
      <w:pPr>
        <w:pStyle w:val="Heading2"/>
      </w:pPr>
      <w:r>
        <w:rPr>
          <w:b/>
          <w:bCs/>
          <w:color w:val="1565C0"/>
          <w:sz w:val="26"/>
          <w:szCs w:val="26"/>
        </w:rPr>
        <w:t xml:space="preserve">8.1 Comparativa de Modelos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234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center"/>
            </w:pPr>
            <w:r>
              <w:rPr>
                <w:b/>
                <w:bCs/>
                <w:color w:val="FFFFFF"/>
                <w:sz w:val="20"/>
                <w:szCs w:val="20"/>
              </w:rPr>
              <w:t xml:space="preserve">Modelo</w:t>
            </w:r>
          </w:p>
        </w:tc>
        <w:tc>
          <w:tcPr>
            <w:tcW w:type="dxa" w:w="234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center"/>
            </w:pPr>
            <w:r>
              <w:rPr>
                <w:b/>
                <w:bCs/>
                <w:color w:val="FFFFFF"/>
                <w:sz w:val="20"/>
                <w:szCs w:val="20"/>
              </w:rPr>
              <w:t xml:space="preserve">MSE</w:t>
            </w:r>
          </w:p>
        </w:tc>
        <w:tc>
          <w:tcPr>
            <w:tcW w:type="dxa" w:w="234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center"/>
            </w:pPr>
            <w:r>
              <w:rPr>
                <w:b/>
                <w:bCs/>
                <w:color w:val="FFFFFF"/>
                <w:sz w:val="20"/>
                <w:szCs w:val="20"/>
              </w:rPr>
              <w:t xml:space="preserve">RMSE</w:t>
            </w:r>
          </w:p>
        </w:tc>
        <w:tc>
          <w:tcPr>
            <w:tcW w:type="dxa" w:w="234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center"/>
            </w:pPr>
            <w:r>
              <w:rPr>
                <w:b/>
                <w:bCs/>
                <w:color w:val="FFFFFF"/>
                <w:sz w:val="20"/>
                <w:szCs w:val="20"/>
              </w:rPr>
              <w:t xml:space="preserve">R²</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b w:val="false"/>
                <w:bCs w:val="false"/>
                <w:color w:val="000000"/>
                <w:sz w:val="20"/>
                <w:szCs w:val="20"/>
              </w:rPr>
              <w:t xml:space="preserve">Precio Dólar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2,376.97</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b w:val="false"/>
                <w:bCs w:val="false"/>
                <w:color w:val="000000"/>
                <w:sz w:val="20"/>
                <w:szCs w:val="20"/>
              </w:rPr>
              <w:t xml:space="preserve">48.75 COP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0.9963</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b w:val="false"/>
                <w:bCs w:val="false"/>
                <w:color w:val="000000"/>
                <w:sz w:val="20"/>
                <w:szCs w:val="20"/>
              </w:rPr>
              <w:t xml:space="preserve">Nivel Glucosa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233.69</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b w:val="false"/>
                <w:bCs w:val="false"/>
                <w:color w:val="000000"/>
                <w:sz w:val="20"/>
                <w:szCs w:val="20"/>
              </w:rPr>
              <w:t xml:space="preserve">15.29 mg/dL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0.6814</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b w:val="false"/>
                <w:bCs w:val="false"/>
                <w:color w:val="000000"/>
                <w:sz w:val="20"/>
                <w:szCs w:val="20"/>
              </w:rPr>
              <w:t xml:space="preserve">Consumo Energía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429.52</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b w:val="false"/>
                <w:bCs w:val="false"/>
                <w:color w:val="000000"/>
                <w:sz w:val="20"/>
                <w:szCs w:val="20"/>
              </w:rPr>
              <w:t xml:space="preserve">20.72 kWh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0.8968</w:t>
            </w:r>
          </w:p>
        </w:tc>
      </w:tr>
    </w:tbl>
    <w:p/>
    <w:p>
      <w:pPr>
        <w:pStyle w:val="Heading2"/>
      </w:pPr>
      <w:r>
        <w:rPr>
          <w:b/>
          <w:bCs/>
          <w:color w:val="1565C0"/>
          <w:sz w:val="26"/>
          <w:szCs w:val="26"/>
        </w:rPr>
        <w:t xml:space="preserve">8.2 Conclusiones</w:t>
      </w:r>
    </w:p>
    <w:p>
      <w:pPr>
        <w:pStyle w:val="ListParagraph"/>
        <w:numPr>
          <w:ilvl w:val="0"/>
          <w:numId w:val="2"/>
        </w:numPr>
      </w:pPr>
      <w:r>
        <w:rPr>
          <w:sz w:val="22"/>
          <w:szCs w:val="22"/>
        </w:rPr>
        <w:t xml:space="preserve">El modelo de Precio del Dólar obtuvo el mejor ajuste (R²=0.9963), lo que indica que las variables Dia, Inflacion y Tasa_interes son predictores casi perfectos del precio bajo las condiciones del dataset. La variable Dia (tendencia temporal) domina el modelo.</w:t>
      </w:r>
    </w:p>
    <w:p>
      <w:pPr>
        <w:pStyle w:val="ListParagraph"/>
        <w:numPr>
          <w:ilvl w:val="0"/>
          <w:numId w:val="2"/>
        </w:numPr>
      </w:pPr>
      <w:r>
        <w:rPr>
          <w:sz w:val="22"/>
          <w:szCs w:val="22"/>
        </w:rPr>
        <w:t xml:space="preserve">El modelo de Glucosa (R²=0.6814) es el de menor ajuste, explicable por la alta variabilidad biológica individual. La Edad es la variable más influyente, seguida de la Actividad Física. El modelo sugiere que el ejercicio regular es el factor modificable más efectivo para controlar la glucosa.</w:t>
      </w:r>
    </w:p>
    <w:p>
      <w:pPr>
        <w:pStyle w:val="ListParagraph"/>
        <w:numPr>
          <w:ilvl w:val="0"/>
          <w:numId w:val="2"/>
        </w:numPr>
      </w:pPr>
      <w:r>
        <w:rPr>
          <w:sz w:val="22"/>
          <w:szCs w:val="22"/>
        </w:rPr>
        <w:t xml:space="preserve">El modelo de Energía (R²=0.8968) muestra que la Temperatura es el principal determinante del consumo eléctrico. Este resultado es coherente con la literatura energética, donde los sistemas de climatización representan la mayor carga eléctrica.</w:t>
      </w:r>
    </w:p>
    <w:p>
      <w:pPr>
        <w:pStyle w:val="ListParagraph"/>
        <w:numPr>
          <w:ilvl w:val="0"/>
          <w:numId w:val="2"/>
        </w:numPr>
      </w:pPr>
      <w:r>
        <w:rPr>
          <w:sz w:val="22"/>
          <w:szCs w:val="22"/>
        </w:rPr>
        <w:t xml:space="preserve">La regresión lineal múltiple es una técnica efectiva para datos con relaciones lineales, pero sus limitaciones incluyen la sensibilidad a outliers y la asunción de linealidad, que puede no cumplirse en fenómenos complejos.</w:t>
      </w:r>
    </w:p>
    <w:p>
      <w:pPr>
        <w:pStyle w:val="ListParagraph"/>
        <w:numPr>
          <w:ilvl w:val="0"/>
          <w:numId w:val="2"/>
        </w:numPr>
      </w:pPr>
      <w:r>
        <w:rPr>
          <w:sz w:val="22"/>
          <w:szCs w:val="22"/>
        </w:rPr>
        <w:t xml:space="preserve">La integración de CRISP-DM garantizó un proceso estructurado y repetible: desde la exploración inicial hasta el despliegue en una interfaz web funcional.</w:t>
      </w:r>
    </w:p>
    <w:p/>
    <w:p>
      <w:pPr>
        <w:pStyle w:val="Heading2"/>
      </w:pPr>
      <w:r>
        <w:rPr>
          <w:b/>
          <w:bCs/>
          <w:color w:val="1565C0"/>
          <w:sz w:val="26"/>
          <w:szCs w:val="26"/>
        </w:rPr>
        <w:t xml:space="preserve">8.3 Trabajos Futuros</w:t>
      </w:r>
    </w:p>
    <w:p>
      <w:pPr>
        <w:pStyle w:val="ListParagraph"/>
        <w:numPr>
          <w:ilvl w:val="0"/>
          <w:numId w:val="2"/>
        </w:numPr>
      </w:pPr>
      <w:r>
        <w:rPr>
          <w:sz w:val="22"/>
          <w:szCs w:val="22"/>
        </w:rPr>
        <w:t xml:space="preserve">Probar modelos no lineales (Random Forest, Gradient Boosting) para comparar el desempeño frente a regresión lineal.</w:t>
      </w:r>
    </w:p>
    <w:p>
      <w:pPr>
        <w:pStyle w:val="ListParagraph"/>
        <w:numPr>
          <w:ilvl w:val="0"/>
          <w:numId w:val="2"/>
        </w:numPr>
      </w:pPr>
      <w:r>
        <w:rPr>
          <w:sz w:val="22"/>
          <w:szCs w:val="22"/>
        </w:rPr>
        <w:t xml:space="preserve">Para glucosa: añadir variables como dieta, antecedentes familiares y medicación.</w:t>
      </w:r>
    </w:p>
    <w:p>
      <w:pPr>
        <w:pStyle w:val="ListParagraph"/>
        <w:numPr>
          <w:ilvl w:val="0"/>
          <w:numId w:val="2"/>
        </w:numPr>
      </w:pPr>
      <w:r>
        <w:rPr>
          <w:sz w:val="22"/>
          <w:szCs w:val="22"/>
        </w:rPr>
        <w:t xml:space="preserve">Para energía: incorporar variables como tipo de edificio y número de ocupantes.</w:t>
      </w:r>
    </w:p>
    <w:p>
      <w:pPr>
        <w:pStyle w:val="ListParagraph"/>
        <w:numPr>
          <w:ilvl w:val="0"/>
          <w:numId w:val="2"/>
        </w:numPr>
      </w:pPr>
      <w:r>
        <w:rPr>
          <w:sz w:val="22"/>
          <w:szCs w:val="22"/>
        </w:rPr>
        <w:t xml:space="preserve">Implementar validación cruzada k-fold para estimaciones más robustas del error.</w:t>
      </w:r>
    </w:p>
    <w:p/>
    <w:p>
      <w:pPr>
        <w:pStyle w:val="Heading1"/>
      </w:pPr>
      <w:r>
        <w:rPr>
          <w:b/>
          <w:bCs/>
          <w:color w:val="1a237e"/>
          <w:sz w:val="32"/>
          <w:szCs w:val="32"/>
        </w:rPr>
        <w:t xml:space="preserve">9. Referencias</w:t>
      </w:r>
    </w:p>
    <w:p>
      <w:pPr>
        <w:pStyle w:val="ListParagraph"/>
        <w:numPr>
          <w:ilvl w:val="0"/>
          <w:numId w:val="2"/>
        </w:numPr>
      </w:pPr>
      <w:r>
        <w:rPr>
          <w:sz w:val="22"/>
          <w:szCs w:val="22"/>
        </w:rPr>
        <w:t xml:space="preserve">Chapman, P. et al. (2000). CRISP-DM 1.0: Step-by-step data mining guide. SPSS Inc.</w:t>
      </w:r>
    </w:p>
    <w:p>
      <w:pPr>
        <w:pStyle w:val="ListParagraph"/>
        <w:numPr>
          <w:ilvl w:val="0"/>
          <w:numId w:val="2"/>
        </w:numPr>
      </w:pPr>
      <w:r>
        <w:rPr>
          <w:sz w:val="22"/>
          <w:szCs w:val="22"/>
        </w:rPr>
        <w:t xml:space="preserve">Pedregosa, F. et al. (2011). Scikit-learn: Machine Learning in Python. JMLR 12, 2825-2830.</w:t>
      </w:r>
    </w:p>
    <w:p>
      <w:pPr>
        <w:pStyle w:val="ListParagraph"/>
        <w:numPr>
          <w:ilvl w:val="0"/>
          <w:numId w:val="2"/>
        </w:numPr>
      </w:pPr>
      <w:r>
        <w:rPr>
          <w:sz w:val="22"/>
          <w:szCs w:val="22"/>
        </w:rPr>
        <w:t xml:space="preserve">McKinney, W. (2010). Data Structures for Statistical Computing in Python. SciPy 2010.</w:t>
      </w:r>
    </w:p>
    <w:p>
      <w:pPr>
        <w:pStyle w:val="ListParagraph"/>
        <w:numPr>
          <w:ilvl w:val="0"/>
          <w:numId w:val="2"/>
        </w:numPr>
      </w:pPr>
      <w:r>
        <w:rPr>
          <w:sz w:val="22"/>
          <w:szCs w:val="22"/>
        </w:rPr>
        <w:t xml:space="preserve">Streamlit Inc. (2024). Streamlit Documentation. https://docs.streamlit.io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237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565C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2026-04-23T22:49:11.095Z</dcterms:created>
  <dcterms:modified xsi:type="dcterms:W3CDTF">2026-04-23T22:49:11.095Z</dcterms:modified>
</cp:coreProperties>
</file>

<file path=docProps/custom.xml><?xml version="1.0" encoding="utf-8"?>
<Properties xmlns="http://schemas.openxmlformats.org/officeDocument/2006/custom-properties" xmlns:vt="http://schemas.openxmlformats.org/officeDocument/2006/docPropsVTypes"/>
</file>