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720" w:firstLine="0"/>
        <w:rPr/>
      </w:pPr>
      <w:r w:rsidDel="00000000" w:rsidR="00000000" w:rsidRPr="00000000">
        <w:rPr>
          <w:rtl w:val="0"/>
        </w:rPr>
        <w:t xml:space="preserve">Verificar la existencia de todas las tablas definidas en el proyecto. </w:t>
      </w:r>
    </w:p>
    <w:p w:rsidR="00000000" w:rsidDel="00000000" w:rsidP="00000000" w:rsidRDefault="00000000" w:rsidRPr="00000000" w14:paraId="0000000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  <w:t xml:space="preserve">Comprobar que cada tabla contenga las columnas necesarias seg´un el modelo de datos.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  <w:t xml:space="preserve">Validar el n´umero de registros insertados en cada tabla (por ejemplo, mediante consultas de conteo). 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  <w:t xml:space="preserve">Confirmar la integridad referencial entre las tablas (verificar relaciones mediante claves for´aneas). </w:t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720" w:firstLine="0"/>
        <w:rPr>
          <w:color w:val="ff00ff"/>
        </w:rPr>
      </w:pPr>
      <w:r w:rsidDel="00000000" w:rsidR="00000000" w:rsidRPr="00000000">
        <w:rPr>
          <w:color w:val="ff00ff"/>
          <w:rtl w:val="0"/>
        </w:rPr>
        <w:t xml:space="preserve">Implementar al menos 7 consultas que involucren, como m´ınimo, 4 tablas en cada una.</w:t>
      </w:r>
    </w:p>
    <w:p w:rsidR="00000000" w:rsidDel="00000000" w:rsidP="00000000" w:rsidRDefault="00000000" w:rsidRPr="00000000" w14:paraId="0000000D">
      <w:pPr>
        <w:ind w:left="720" w:firstLine="0"/>
        <w:rPr>
          <w:color w:val="ff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firstLine="0"/>
        <w:rPr>
          <w:color w:val="ff00ff"/>
        </w:rPr>
      </w:pPr>
      <w:r w:rsidDel="00000000" w:rsidR="00000000" w:rsidRPr="00000000">
        <w:rPr>
          <w:color w:val="ff00ff"/>
          <w:rtl w:val="0"/>
        </w:rPr>
        <w:t xml:space="preserve"> Estas consultas deber´an combinar informaci´on de diversas tablas para asegurar el correcto funcionamiento de los JOIN y otros operadores del modelo relacional.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  <w:t xml:space="preserve">En todas las pruebas se debe medir el rendimiento de ejecuci´on utilizando el m´odulo timeit de Python. </w:t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  <w:t xml:space="preserve">Registrar tanto el tiempo total de ejecuci´on como el tiempo promedio por prueba.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  <w:t xml:space="preserve">Cada una de las 15 pruebas debe involucrar aspectos de la estructura, contenido y rendimiento de la base de datos. </w:t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  <w:t xml:space="preserve">Todas las tablas definidas en el proyecto deben ser probadas en al menos una de las pruebas.</w:t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