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Cambios Regulatorios DIAN</w:t>
      </w:r>
    </w:p>
    <w:p>
      <w:pPr>
        <w:jc w:val="center"/>
      </w:pPr>
      <w:r>
        <w:rPr>
          <w:color w:val="595959"/>
          <w:sz w:val="24"/>
        </w:rPr>
        <w:t>04 de October de 2026</w:t>
      </w:r>
    </w:p>
    <w:p/>
    <w:p>
      <w:r>
        <w:rPr>
          <w:b/>
        </w:rPr>
        <w:t xml:space="preserve">Run ID: </w:t>
      </w:r>
      <w:r>
        <w:t>3fd88f38-fd59-4417-9335-1ca7fc8480d8</w:t>
      </w:r>
      <w:r>
        <w:rPr>
          <w:b/>
        </w:rPr>
        <w:br/>
        <w:t xml:space="preserve">Fuentes monitoreadas: </w:t>
      </w:r>
      <w:r>
        <w:t>Normograma DIAN — Sistema de Facturación (ítem 1.6)</w:t>
      </w:r>
    </w:p>
    <w:p/>
    <w:p>
      <w:pPr>
        <w:pStyle w:val="Heading1"/>
      </w:pPr>
      <w:r>
        <w:t>Sin cambios detectados</w:t>
      </w:r>
    </w:p>
    <w:p>
      <w:r>
        <w:t>No se detectaron modificaciones en las fuentes monitoreadas en esta ejecución.</w:t>
      </w:r>
      <w:r>
        <w:br/>
        <w:br/>
        <w:t>Fuentes revisadas: Normograma DIAN — Sistema de Facturación (ítem 1.6)</w:t>
      </w:r>
    </w:p>
    <w:p/>
    <w:p>
      <w:pPr>
        <w:jc w:val="center"/>
      </w:pPr>
      <w:r>
        <w:rPr>
          <w:color w:val="999999"/>
          <w:sz w:val="18"/>
        </w:rPr>
        <w:t>Generado por Regulatory Intelligence Agent · 2026-10-04T16:27:59Z · run 3fd88f38-fd59-4417-9335-1ca7fc8480d8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