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13 de August de 2026</w:t>
      </w:r>
    </w:p>
    <w:p/>
    <w:p>
      <w:r>
        <w:rPr>
          <w:b/>
        </w:rPr>
        <w:t xml:space="preserve">Run ID: </w:t>
      </w:r>
      <w:r>
        <w:t>dd6d41dd-df4b-466a-85ee-10d0745e638e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FF8C00"/>
        </w:rPr>
        <w:t>Resolución 21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Calendarios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facturación electrónica y declaración de impuestos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FF8C00"/>
              </w:rPr>
              <w:t>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Producto, Customer Success</w:t>
            </w:r>
          </w:p>
        </w:tc>
      </w:tr>
    </w:tbl>
    <w:p/>
    <w:p>
      <w:r>
        <w:rPr>
          <w:b/>
        </w:rPr>
        <w:t xml:space="preserve">¿Qué cambió?: </w:t>
      </w:r>
      <w:r>
        <w:t>Se modificaron los formatos 2839 y 2840 de la Resolución 000227 de 2025, relacionados con la información de pagos o abonos en cuenta de los proyectos de utilidad común certificados por APC-Colombia y la información de las certificaciones de primer empleo y adulto mayor expedidas por el Ministerio de Trabajo, respectivamente. Además, se establecieron plazos extraordinarios para la presentación de información exógena tributaria correspondiente a varios formatos.</w:t>
      </w:r>
    </w:p>
    <w:p>
      <w:r>
        <w:rPr>
          <w:b/>
        </w:rPr>
        <w:t xml:space="preserve">Implicaciones: </w:t>
      </w:r>
      <w:r>
        <w:t>El cambio impacta en la plataforma de facturación electrónica colombiana como Alegra, ya que debe adaptarse a los nuevos requisitos de información y formatos establecidos por la DIAN. La plataforma debe asegurarse de que los usuarios puedan generar y presentar la información en los formatos actualizados y dentro de los plazos establecidos.</w:t>
      </w:r>
    </w:p>
    <w:p>
      <w:r>
        <w:rPr>
          <w:b/>
        </w:rPr>
        <w:t xml:space="preserve">Acción — Producto: </w:t>
      </w:r>
      <w:r>
        <w:t>Actualizar la documentación y los formatos de facturación electrónica para reflejar los cambios establecidos por la DIAN</w:t>
      </w:r>
    </w:p>
    <w:p>
      <w:r>
        <w:rPr>
          <w:b/>
        </w:rPr>
        <w:t xml:space="preserve">Acción — Ingeniería: </w:t>
      </w:r>
      <w:r>
        <w:t>Realizar los ajustes necesarios en el código y la lógica de la plataforma para asegurarse de que se cumplan los nuevos requisitos de información y formatos</w:t>
      </w:r>
    </w:p>
    <w:p>
      <w:r>
        <w:rPr>
          <w:b/>
        </w:rPr>
        <w:t xml:space="preserve">Acción — Customer Success: </w:t>
      </w:r>
      <w:r>
        <w:t>Notificar a los usuarios sobre los cambios y brindarles apoyo y orientación para asegurarse de que puedan cumplir con los nuevos requisitos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2026-08-13T15:32:34Z · run dd6d41dd-df4b-466a-85ee-10d0745e638e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