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Cambios Regulatorios DIAN</w:t>
      </w:r>
    </w:p>
    <w:p>
      <w:pPr>
        <w:jc w:val="center"/>
      </w:pPr>
      <w:r>
        <w:rPr>
          <w:color w:val="595959"/>
          <w:sz w:val="24"/>
        </w:rPr>
        <w:t>17 de October de 2026</w:t>
      </w:r>
    </w:p>
    <w:p/>
    <w:p>
      <w:r>
        <w:rPr>
          <w:b/>
        </w:rPr>
        <w:t xml:space="preserve">Run ID: </w:t>
      </w:r>
      <w:r>
        <w:t>fc0d2034-2734-48e2-8887-28b71ab5cc16</w:t>
      </w:r>
      <w:r>
        <w:rPr>
          <w:b/>
        </w:rPr>
        <w:br/>
        <w:t xml:space="preserve">Fuentes monitoreadas: </w:t>
      </w:r>
      <w:r>
        <w:t>Normograma DIAN — Sistema de Facturación (ítem 1.6)</w:t>
      </w:r>
    </w:p>
    <w:p/>
    <w:p>
      <w:pPr>
        <w:pStyle w:val="Heading1"/>
      </w:pPr>
      <w:r>
        <w:t>Sin cambios detectados</w:t>
      </w:r>
    </w:p>
    <w:p>
      <w:r>
        <w:t>No se detectaron modificaciones en las fuentes monitoreadas en esta ejecución.</w:t>
      </w:r>
      <w:r>
        <w:br/>
        <w:br/>
        <w:t>Fuentes revisadas: Normograma DIAN — Sistema de Facturación (ítem 1.6)</w:t>
      </w:r>
    </w:p>
    <w:p/>
    <w:p>
      <w:pPr>
        <w:jc w:val="center"/>
      </w:pPr>
      <w:r>
        <w:rPr>
          <w:color w:val="999999"/>
          <w:sz w:val="18"/>
        </w:rPr>
        <w:t>Generado por Regulatory Intelligence Agent · 2026-10-17T14:58:59Z · run fc0d2034-2734-48e2-8887-28b71ab5cc16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