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Reporte de Cambios Regulatorios DIAN</w:t>
      </w:r>
    </w:p>
    <w:p>
      <w:pPr>
        <w:jc w:val="center"/>
      </w:pPr>
      <w:r>
        <w:rPr>
          <w:color w:val="595959"/>
          <w:sz w:val="24"/>
        </w:rPr>
        <w:t>14 de August de 2026</w:t>
      </w:r>
    </w:p>
    <w:p/>
    <w:p>
      <w:r>
        <w:rPr>
          <w:b/>
        </w:rPr>
        <w:t xml:space="preserve">Run ID: </w:t>
      </w:r>
      <w:r>
        <w:t>f868a6de-02ee-4718-a4b5-01fb616225c0</w:t>
      </w:r>
      <w:r>
        <w:rPr>
          <w:b/>
        </w:rPr>
        <w:br/>
        <w:t xml:space="preserve">Fuentes monitoreadas: </w:t>
      </w:r>
      <w:r>
        <w:t>Normograma DIAN — Sistema de Facturación (ítem 1.6)</w:t>
      </w:r>
    </w:p>
    <w:p/>
    <w:p>
      <w:pPr>
        <w:pStyle w:val="Heading1"/>
      </w:pPr>
      <w:r>
        <w:t>Sin cambios detectados</w:t>
      </w:r>
    </w:p>
    <w:p>
      <w:r>
        <w:t>No se detectaron modificaciones en las fuentes monitoreadas en esta ejecución.</w:t>
      </w:r>
      <w:r>
        <w:br/>
        <w:br/>
        <w:t>Fuentes revisadas: Normograma DIAN — Sistema de Facturación (ítem 1.6)</w:t>
      </w:r>
    </w:p>
    <w:p/>
    <w:p>
      <w:pPr>
        <w:jc w:val="center"/>
      </w:pPr>
      <w:r>
        <w:rPr>
          <w:color w:val="999999"/>
          <w:sz w:val="18"/>
        </w:rPr>
        <w:t>Generado por Regulatory Intelligence Agent · 2026-08-14T15:07:42Z · run f868a6de-02ee-4718-a4b5-01fb616225c0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