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02 de August de 2026</w:t>
      </w:r>
    </w:p>
    <w:p/>
    <w:p>
      <w:r>
        <w:rPr>
          <w:b/>
        </w:rPr>
        <w:t xml:space="preserve">Run ID: </w:t>
      </w:r>
      <w:r>
        <w:t>a7e52a23-3ebb-49ba-a8c0-31566c814f3f</w:t>
      </w:r>
      <w:r>
        <w:rPr>
          <w:b/>
        </w:rPr>
        <w:br/>
        <w:t xml:space="preserve">Fuentes monitoreadas: </w:t>
      </w:r>
      <w:r>
        <w:t>Micrositios DIAN — Normatividad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Micrositios DIAN — Normatividad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2026-08-02T02:12:01Z · run a7e52a23-3ebb-49ba-a8c0-31566c814f3f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