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03 de August de 2026</w:t>
      </w:r>
    </w:p>
    <w:p/>
    <w:p>
      <w:r>
        <w:rPr>
          <w:b/>
        </w:rPr>
        <w:t xml:space="preserve">Run ID: </w:t>
      </w:r>
      <w:r>
        <w:t>4c707863-77bc-44ec-a245-a61267566779</w:t>
      </w:r>
      <w:r>
        <w:rPr>
          <w:b/>
        </w:rPr>
        <w:br/>
        <w:t xml:space="preserve">Fuentes monitoreadas: </w:t>
      </w:r>
      <w:r>
        <w:t>Micrositios DIAN — Normatividad, DIAN — Proyectos de Normas, 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Micrositios DIAN — Normatividad, DIAN — Proyectos de Normas,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2026-08-03T03:33:43Z · run 4c707863-77bc-44ec-a245-a61267566779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