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23 de October de 2026</w:t>
      </w:r>
    </w:p>
    <w:p/>
    <w:p>
      <w:r>
        <w:rPr>
          <w:b/>
        </w:rPr>
        <w:t xml:space="preserve">Run ID: </w:t>
      </w:r>
      <w:r>
        <w:t>78eea684-f93a-4ae9-a220-4b6386894bfd</w:t>
      </w:r>
      <w:r>
        <w:rPr>
          <w:b/>
        </w:rPr>
        <w:br/>
        <w:t xml:space="preserve">Fuentes monitoreadas: </w:t>
      </w:r>
      <w:r>
        <w:t>Normograma DIAN — Sistema de Facturación (ítem 1.6)</w:t>
      </w:r>
    </w:p>
    <w:p/>
    <w:p>
      <w:pPr>
        <w:pStyle w:val="Heading1"/>
      </w:pPr>
      <w:r>
        <w:t>Sin cambios detectados</w:t>
      </w:r>
    </w:p>
    <w:p>
      <w:r>
        <w:t>No se detectaron modificaciones en las fuentes monitoreadas en esta ejecución.</w:t>
      </w:r>
      <w:r>
        <w:br/>
        <w:br/>
        <w:t>Fuentes revisadas: Normograma DIAN — Sistema de Facturación (ítem 1.6)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2026-10-23T16:29:04Z · run 78eea684-f93a-4ae9-a220-4b6386894bfd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