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Cambios Regulatorios DIAN</w:t>
      </w:r>
    </w:p>
    <w:p>
      <w:pPr>
        <w:jc w:val="center"/>
      </w:pPr>
      <w:r>
        <w:rPr>
          <w:color w:val="595959"/>
          <w:sz w:val="24"/>
        </w:rPr>
        <w:t>25 de September de 2026</w:t>
      </w:r>
    </w:p>
    <w:p/>
    <w:p>
      <w:r>
        <w:rPr>
          <w:b/>
        </w:rPr>
        <w:t xml:space="preserve">Run ID: </w:t>
      </w:r>
      <w:r>
        <w:t>91102eb8-942d-4a44-b6db-fdeab2229174</w:t>
      </w:r>
      <w:r>
        <w:rPr>
          <w:b/>
        </w:rPr>
        <w:br/>
        <w:t xml:space="preserve">Fuentes monitoreadas: </w:t>
      </w:r>
      <w:r>
        <w:t>Normograma DIAN — Sistema de Facturación (ítem 1.6)</w:t>
      </w:r>
    </w:p>
    <w:p/>
    <w:p>
      <w:pPr>
        <w:pStyle w:val="Heading1"/>
      </w:pPr>
      <w:r>
        <w:t>Sin cambios detectados</w:t>
      </w:r>
    </w:p>
    <w:p>
      <w:r>
        <w:t>No se detectaron modificaciones en las fuentes monitoreadas en esta ejecución.</w:t>
      </w:r>
      <w:r>
        <w:br/>
        <w:br/>
        <w:t>Fuentes revisadas: Normograma DIAN — Sistema de Facturación (ítem 1.6)</w:t>
      </w:r>
    </w:p>
    <w:p/>
    <w:p>
      <w:pPr>
        <w:jc w:val="center"/>
      </w:pPr>
      <w:r>
        <w:rPr>
          <w:color w:val="999999"/>
          <w:sz w:val="18"/>
        </w:rPr>
        <w:t>Generado por Regulatory Intelligence Agent · 2026-09-25T16:34:27Z · run 91102eb8-942d-4a44-b6db-fdeab2229174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