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Reporte de Cambios Regulatorios DIAN</w:t>
      </w:r>
    </w:p>
    <w:p>
      <w:pPr>
        <w:jc w:val="center"/>
      </w:pPr>
      <w:r>
        <w:rPr>
          <w:color w:val="595959"/>
          <w:sz w:val="24"/>
        </w:rPr>
        <w:t>03 de August de 2026</w:t>
      </w:r>
    </w:p>
    <w:p/>
    <w:p>
      <w:r>
        <w:rPr>
          <w:b/>
        </w:rPr>
        <w:t xml:space="preserve">Run ID: </w:t>
      </w:r>
      <w:r>
        <w:t>15798bbf-fa8c-4262-b4b4-072f36279118</w:t>
      </w:r>
      <w:r>
        <w:rPr>
          <w:b/>
        </w:rPr>
        <w:br/>
        <w:t xml:space="preserve">Fuentes monitoreadas: </w:t>
      </w:r>
      <w:r>
        <w:t>Normograma DIAN — Sistema de Facturación (ítem 1.6)</w:t>
      </w:r>
    </w:p>
    <w:p/>
    <w:p>
      <w:pPr>
        <w:pStyle w:val="Heading1"/>
      </w:pPr>
      <w:r>
        <w:t>Resumen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Total de cambios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Prioridad Alta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Prioridad Media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Prioridad Baja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</w:tbl>
    <w:p/>
    <w:p>
      <w:pPr>
        <w:pStyle w:val="Heading2"/>
      </w:pPr>
      <w:r>
        <w:rPr>
          <w:color w:val="C00000"/>
        </w:rPr>
        <w:t>Resolución 4285 de 2026 DIAN  [Agregada]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Categoría funcional</w:t>
            </w:r>
          </w:p>
        </w:tc>
        <w:tc>
          <w:tcPr>
            <w:tcW w:type="dxa" w:w="4320"/>
          </w:tcPr>
          <w:p>
            <w:r>
              <w:t>General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Módulo afectado</w:t>
            </w:r>
          </w:p>
        </w:tc>
        <w:tc>
          <w:tcPr>
            <w:tcW w:type="dxa" w:w="4320"/>
          </w:tcPr>
          <w:p>
            <w:r>
              <w:t>Módulo de declaraciones y pagos tributarios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Urgencia</w:t>
            </w:r>
          </w:p>
        </w:tc>
        <w:tc>
          <w:tcPr>
            <w:tcW w:type="dxa" w:w="4320"/>
          </w:tcPr>
          <w:p>
            <w:r>
              <w:rPr>
                <w:b/>
                <w:color w:val="C00000"/>
              </w:rPr>
              <w:t>Alta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Equipos impactados</w:t>
            </w:r>
          </w:p>
        </w:tc>
        <w:tc>
          <w:tcPr>
            <w:tcW w:type="dxa" w:w="4320"/>
          </w:tcPr>
          <w:p>
            <w:r>
              <w:t>Producto</w:t>
            </w:r>
          </w:p>
        </w:tc>
      </w:tr>
    </w:tbl>
    <w:p/>
    <w:p>
      <w:r>
        <w:rPr>
          <w:b/>
        </w:rPr>
        <w:t xml:space="preserve">¿Qué cambió?: </w:t>
      </w:r>
      <w:r>
        <w:t>Se adicionó el artículo 1.2.2.39 a la Resolución 000227 de 2025, que prescribe el formulario 425 para la declaración de impuesto al patrimonio para personas jurídicas, sociedades de hecho y establecimientos permanentes de entidades del exterior para la vigencia 2026</w:t>
      </w:r>
    </w:p>
    <w:p>
      <w:r>
        <w:rPr>
          <w:b/>
        </w:rPr>
        <w:t xml:space="preserve">Implicaciones: </w:t>
      </w:r>
      <w:r>
        <w:t>La plataforma de facturación electrónica debe incorporar el nuevo formulario 425 y permitir a los usuarios declarar y pagar el impuesto al patrimonio de manera electrónica, utilizando la Firma Electrónica autorizada por la DIAN</w:t>
      </w:r>
    </w:p>
    <w:p>
      <w:r>
        <w:rPr>
          <w:b/>
        </w:rPr>
        <w:t xml:space="preserve">Acción — Producto: </w:t>
      </w:r>
      <w:r>
        <w:t>Incorporar el formulario 425 y habilitar la declaración y pago electrónico del impuesto al patrimonio</w:t>
      </w:r>
    </w:p>
    <w:p>
      <w:r>
        <w:rPr>
          <w:b/>
        </w:rPr>
        <w:t xml:space="preserve">Acción — Ingeniería: </w:t>
      </w:r>
      <w:r>
        <w:t>Desarrollar e implementar los cambios necesarios en la plataforma para soportar el nuevo formulario y el proceso de declaración y pago electrónico</w:t>
      </w:r>
    </w:p>
    <w:p>
      <w:r>
        <w:rPr>
          <w:b/>
        </w:rPr>
        <w:t xml:space="preserve">Acción — Customer Success: </w:t>
      </w:r>
      <w:r>
        <w:t>Comunicar a los clientes sobre el nuevo formulario y el proceso de declaración y pago electrónico, y brindar soporte técnico para asegurarse de que puedan utilizar la función de manera efectiva</w:t>
      </w:r>
    </w:p>
    <w:p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jc w:val="center"/>
      </w:pPr>
      <w:r>
        <w:rPr>
          <w:color w:val="999999"/>
          <w:sz w:val="18"/>
        </w:rPr>
        <w:t>Generado por Regulatory Intelligence Agent · 2026-08-03T03:49:12Z · run 15798bbf-fa8c-4262-b4b4-072f36279118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