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Evaluación de Eficiencia en Políticas Públicas: Caso IFE</w:t>
      </w:r>
    </w:p>
    <w:p>
      <w:pPr>
        <w:pStyle w:val="Heading1"/>
      </w:pPr>
      <w:r>
        <w:t>1. Introducción y Objetivo</w:t>
      </w:r>
    </w:p>
    <w:p>
      <w:r>
        <w:t>El presente informe detalla los resultados de la simulación del impacto de transferencias directas de ingresos, utilizando los microdatos de la Encuesta Permanente de Hogares (EPH). El objetivo principal es evaluar, bajo el supuesto de focalización perfecta, cuál debería haber sido el monto óptimo del Ingreso Familiar de Emergencia (IFE) para cubrir eficientemente la brecha de ingresos de la población objetivo sin generar ineficiencias fiscales, y contrastarlo con la política efectivamente implementada.</w:t>
      </w:r>
    </w:p>
    <w:p>
      <w:pPr>
        <w:pStyle w:val="Heading1"/>
      </w:pPr>
      <w:r>
        <w:t>2. Resultados de la Simulación</w:t>
      </w:r>
    </w:p>
    <w:p>
      <w:r>
        <w:t>A partir del procesamiento de los microdatos, se obtuvieron los siguientes valores clave:</w:t>
      </w:r>
    </w:p>
    <w:p>
      <w:pPr>
        <w:pStyle w:val="ListBullet"/>
      </w:pPr>
      <w:r>
        <w:rPr>
          <w:b/>
        </w:rPr>
        <w:t xml:space="preserve">Monto Fijo Óptimo Promedio: </w:t>
      </w:r>
      <w:r>
        <w:t>$ 30.465,32</w:t>
      </w:r>
    </w:p>
    <w:p>
      <w:pPr>
        <w:pStyle w:val="ListBullet"/>
      </w:pPr>
      <w:r>
        <w:rPr>
          <w:b/>
        </w:rPr>
        <w:t xml:space="preserve">Costo Fiscal Total Proyectado: </w:t>
      </w:r>
      <w:r>
        <w:t>$ 69.201.223.677</w:t>
      </w:r>
    </w:p>
    <w:p>
      <w:pPr>
        <w:pStyle w:val="ListBullet"/>
      </w:pPr>
      <w:r>
        <w:rPr>
          <w:b/>
        </w:rPr>
        <w:t xml:space="preserve">Monto Real Otorgado (IFE): </w:t>
      </w:r>
      <w:r>
        <w:t>$ 10.000,00</w:t>
      </w:r>
    </w:p>
    <w:p>
      <w:pPr>
        <w:pStyle w:val="Heading1"/>
      </w:pPr>
      <w:r>
        <w:t>3. Análisis de Eficiencia y Trade-offs</w:t>
      </w:r>
    </w:p>
    <w:p>
      <w:r>
        <w:t>El contraste entre el modelo teórico y la política implementada revela importantes dilemas (trade-offs) entre el diseño óptimo y la viabilidad administrativa:</w:t>
      </w:r>
    </w:p>
    <w:p>
      <w:pPr>
        <w:pStyle w:val="Heading2"/>
      </w:pPr>
      <w:r>
        <w:t>Eficiencia Teórica (Transferencia Variable):</w:t>
      </w:r>
    </w:p>
    <w:p>
      <w:r>
        <w:t>Si el Estado contara con información perfecta y un costo de administración nulo, la política óptima consistiría en entregar a cada hogar exactamente su Brecha de Ingresos individual. Esto garantizaría cero ineficiencias fiscales, erradicando la pobreza en el segmento objetivo con el mínimo gasto macroeconómico necesario. Sin embargo, en la práctica, auditar los ingresos informales en tiempo real resulta administrativamente inviable.</w:t>
      </w:r>
    </w:p>
    <w:p>
      <w:pPr>
        <w:pStyle w:val="Heading2"/>
      </w:pPr>
      <w:r>
        <w:t>Eficiencia Práctica y el IFE Real:</w:t>
      </w:r>
    </w:p>
    <w:p>
      <w:r>
        <w:t>Al implementar una transferencia fija universal, se generan matemáticamente dos tipos de ineficiencias microeconómicas, tal como lo demuestra el análisis de distribución de brechas:</w:t>
      </w:r>
    </w:p>
    <w:p>
      <w:pPr>
        <w:pStyle w:val="ListBullet"/>
      </w:pPr>
      <w:r>
        <w:rPr>
          <w:b/>
        </w:rPr>
        <w:t xml:space="preserve">Sobre-cobertura fiscal (Leakage de intensidad): </w:t>
      </w:r>
      <w:r>
        <w:t>Aquellos hogares cuya brecha era menor al monto recibido obtienen más dinero del estrictamente necesario para superar la línea de pobreza, lo que genera una ineficiencia en la asignación de los limitados recursos fiscales del Estado.</w:t>
      </w:r>
    </w:p>
    <w:p>
      <w:pPr>
        <w:pStyle w:val="ListBullet"/>
      </w:pPr>
      <w:r>
        <w:rPr>
          <w:b/>
        </w:rPr>
        <w:t xml:space="preserve">Sub-cobertura social: </w:t>
      </w:r>
      <w:r>
        <w:t>Representa el principal problema evidenciado en el caso. Dado que el IFE real fue de $10.000, un valor sustancialmente por debajo del óptimo calculado de $30.465, la inmensa mayoría de los hogares de la población objetivo recibieron la transferencia pero no lograron cruzar la línea de pobreza.</w:t>
      </w:r>
    </w:p>
    <w:p>
      <w:pPr>
        <w:pStyle w:val="Heading1"/>
      </w:pPr>
      <w:r>
        <w:t>4. Conclusión</w:t>
      </w:r>
    </w:p>
    <w:p>
      <w:r>
        <w:t xml:space="preserve">El Ingreso Familiar de Emergencia priorizó la velocidad de despliegue y la simplificación administrativa, factores cruciales en un contexto de crisis. No obstante, desde la perspectiva de la economía del bienestar y la focalización, el monto político universal de $10.000 resultó insuficiente para cubrir la brecha real ponderada del período. </w:t>
      </w:r>
    </w:p>
    <w:p>
      <w:r>
        <w:t>Para lograr la erradicación de la pobreza en el sector objetivo manteniendo una política de transferencia de suma fija, el monto debería haberse triplicado. Esta decisión hubiera implicado asumir conscientemente el costo fiscal derivado de los inevitables 'leakages' (excesos de transferencia) en los percentiles menos vulnerables del grupo, exponiendo la tensión constante entre la precisión técnica y la urgencia política.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