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b/>
          <w:bCs/>
          <w:highlight w:val="none"/>
        </w:rPr>
      </w:pPr>
      <w:r>
        <w:rPr>
          <w:b/>
          <w:bCs/>
          <w:lang w:val="es-AR"/>
        </w:rPr>
        <w:t xml:space="preserve">Specs para Agenda Judicial</w:t>
      </w:r>
      <w:r>
        <w:rPr>
          <w:b/>
          <w:bCs/>
        </w:rPr>
      </w:r>
    </w:p>
    <w:p w14:paraId="725C212D">
      <w:pPr>
        <w:pBdr/>
        <w:spacing/>
        <w:ind/>
        <w:jc w:val="both"/>
        <w:rPr>
          <w:highlight w:val="none"/>
          <w:lang w:val="es-AR"/>
        </w:rPr>
      </w:pPr>
      <w:r>
        <w:rPr>
          <w:highlight w:val="none"/>
          <w:lang w:val="es-AR"/>
        </w:rPr>
        <w:t xml:space="preserve">Esta aplicación tiene el objetivo de unificar las agendas de todas las dependencias del Poder Judicial del Chaco, para que exista una sola vía de información de audiencias, eventos, </w:t>
      </w:r>
      <w:r>
        <w:rPr>
          <w:highlight w:val="none"/>
          <w:lang w:val="es-AR"/>
        </w:rPr>
        <w:t xml:space="preserve">licencias, feriados nacionales y provinciales, extraordinarios, etc.</w:t>
      </w:r>
      <w:r/>
    </w:p>
    <w:p w14:paraId="0C2CF0ED">
      <w:pPr>
        <w:pBdr/>
        <w:spacing/>
        <w:ind/>
        <w:jc w:val="both"/>
        <w:rPr>
          <w:highlight w:val="none"/>
          <w:lang w:val="es-AR"/>
        </w:rPr>
      </w:pPr>
      <w:r>
        <w:rPr>
          <w:highlight w:val="none"/>
          <w:lang w:val="es-AR"/>
        </w:rPr>
        <w:t xml:space="preserve">La idea también es que exista un administrador general de la audiencia, el cual cargará todos las audiencias y eventos que competen a todo el Poder Judicial, pero a su vez, las dependencias judiciales podrán cargar audiencias y eventos que solo competan a su dependencia, por ejemplo: licencia del juez del 1/2 al 5/2, ademas esta carga se debería poder tomar desde un archivo .csv, .xls o .xlsx, o cualquier archivo que contenga la fecha, el nombre del evento y tipo de audiencia o evento,</w:t>
      </w:r>
      <w:r>
        <w:rPr>
          <w:highlight w:val="none"/>
          <w:lang w:val="es-AR"/>
        </w:rPr>
        <w:t xml:space="preserve"> de manera individual como masiva desde el archivo (csv, xls, etc.).</w:t>
      </w:r>
      <w:r/>
    </w:p>
    <w:p w14:paraId="4281B179">
      <w:pPr>
        <w:pBdr/>
        <w:spacing/>
        <w:ind/>
        <w:jc w:val="both"/>
        <w:rPr>
          <w:highlight w:val="none"/>
          <w:lang w:val="es-AR"/>
        </w:rPr>
      </w:pPr>
      <w:r>
        <w:rPr>
          <w:highlight w:val="none"/>
          <w:lang w:val="es-AR"/>
        </w:rPr>
        <w:t xml:space="preserve">Las agendas individuales deben poder ser administradas por una persona de la dependencia judicial, que cargue los eventos significativos de toda la dependencia, por ejemplo: licencia de juez o secretaria; y por otro lado cada integrante de la dependencia podrá cargar eventos y/o audiencias que será de su responsabilidad llevarlas adelante. Todos los integrantes de la dependencia podrán consultar la agenda de la dependencia, pudiendo filtrar audiencias por responsable, para poder brindar información a quien lo requiera, en caso de ausencia o responsable de la audiencia y/o evento fijado. </w:t>
      </w:r>
      <w:r>
        <w:rPr>
          <w:highlight w:val="none"/>
          <w:lang w:val="es-AR"/>
        </w:rPr>
      </w:r>
      <w:r/>
    </w:p>
    <w:p w14:paraId="58B7AB2C">
      <w:pPr>
        <w:pBdr/>
        <w:spacing/>
        <w:ind/>
        <w:jc w:val="both"/>
        <w:rPr>
          <w:highlight w:val="none"/>
          <w:lang w:val="es-AR"/>
        </w:rPr>
      </w:pPr>
      <w:r>
        <w:rPr>
          <w:highlight w:val="none"/>
          <w:lang w:val="es-AR"/>
        </w:rPr>
        <w:t xml:space="preserve">Tambien la agenda deberá tener en la parte de administración la posibilidad de listar las audiencias, por fecha, por responsable, por eventos, por tipo de audiencias, y emitir esos listados por pdf, o imprimirlos. Tambien una parte de estadisticas por los mismos parametros generales de la dependencia, con graficos de torta o barras laterales.</w:t>
      </w:r>
      <w:r>
        <w:rPr>
          <w:highlight w:val="none"/>
          <w:lang w:val="es-AR"/>
        </w:rPr>
      </w:r>
    </w:p>
    <w:p w14:paraId="0B85E52D">
      <w:pPr>
        <w:pBdr/>
        <w:spacing/>
        <w:ind/>
        <w:jc w:val="both"/>
        <w:rPr>
          <w:highlight w:val="none"/>
          <w:lang w:val="es-AR"/>
        </w:rPr>
      </w:pPr>
      <w:r>
        <w:rPr>
          <w:highlight w:val="none"/>
          <w:lang w:val="es-AR" w:bidi="es-AR"/>
        </w:rPr>
        <w:t xml:space="preserve">Se debe contar con una posibilidad de contar plazos legales, pudiendo la parte de administración colocar los distintos tipos de plazos: traslado de demanda, contestación de demanda, caducidad de instancia, vencimiento de llamado de autos para sentencia definitiva y/o interlocutoria, vencimiento de contestación de oficios (organismos publicos y/o privados).</w:t>
      </w:r>
      <w:r>
        <w:rPr>
          <w:highlight w:val="none"/>
          <w:lang w:val="es-AR" w:bidi="es-AR"/>
        </w:rPr>
      </w:r>
      <w:r>
        <w:rPr>
          <w:highlight w:val="none"/>
          <w:lang w:val="es-AR"/>
        </w:rPr>
      </w:r>
    </w:p>
    <w:p w14:paraId="30FAE655">
      <w:pPr>
        <w:pBdr/>
        <w:spacing/>
        <w:ind/>
        <w:jc w:val="both"/>
        <w:rPr>
          <w:highlight w:val="none"/>
          <w:lang w:val="es-AR"/>
        </w:rPr>
      </w:pPr>
      <w:r>
        <w:rPr>
          <w:highlight w:val="none"/>
          <w:lang w:val="es-AR"/>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1" locked="0" layoutInCell="1" allowOverlap="1">
                <wp:simplePos x="0" y="0"/>
                <wp:positionH relativeFrom="column">
                  <wp:posOffset>-21885</wp:posOffset>
                </wp:positionH>
                <wp:positionV relativeFrom="paragraph">
                  <wp:posOffset>248296</wp:posOffset>
                </wp:positionV>
                <wp:extent cx="1123950" cy="304800"/>
                <wp:effectExtent l="0" t="0" r="0" b="0"/>
                <wp:wrapNone/>
                <wp:docPr id="1" name=""/>
                <wp:cNvGraphicFramePr/>
                <a:graphic xmlns:a="http://schemas.openxmlformats.org/drawingml/2006/main">
                  <a:graphicData uri="http://schemas.microsoft.com/office/word/2010/wordprocessingShape">
                    <wps:wsp>
                      <wps:cNvPr id="553709626" name=""/>
                      <wps:cNvSpPr/>
                      <wps:spPr bwMode="auto">
                        <a:xfrm rot="0" flipH="0" flipV="0">
                          <a:off x="0" y="0"/>
                          <a:ext cx="1123949" cy="30479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0" o:spid="_x0000_s0" o:spt="1" type="#_x0000_t1" style="position:absolute;z-index:-2048;o:allowoverlap:true;o:allowincell:true;mso-position-horizontal-relative:text;margin-left:-1.72pt;mso-position-horizontal:absolute;mso-position-vertical-relative:text;margin-top:19.55pt;mso-position-vertical:absolute;width:88.50pt;height:24.00pt;mso-wrap-distance-left:9.07pt;mso-wrap-distance-top:0.00pt;mso-wrap-distance-right:9.07pt;mso-wrap-distance-bottom:0.00pt;rotation:0;visibility:visible;" fillcolor="#5B9BD5" strokecolor="#2D4D6A" strokeweight="1.00pt"/>
            </w:pict>
          </mc:Fallback>
        </mc:AlternateContent>
      </w:r>
      <w:r>
        <w:rPr>
          <w:highlight w:val="none"/>
          <w:lang w:val="es-AR"/>
        </w:rPr>
      </w:r>
      <w:r>
        <w:rPr>
          <w:highlight w:val="none"/>
          <w:lang w:val="es-AR"/>
        </w:rPr>
        <w:t xml:space="preserve">Entonces, la jerarquia quedaria asi:</w:t>
      </w:r>
      <w:r/>
    </w:p>
    <w:p w14:paraId="3CB945A9">
      <w:pPr>
        <w:pBdr/>
        <w:spacing/>
        <w:ind/>
        <w:jc w:val="both"/>
        <w:rPr>
          <w:b/>
          <w:bCs/>
          <w:color w:val="ffffff" w:themeColor="background1"/>
          <w:highlight w:val="none"/>
        </w:rPr>
      </w:pPr>
      <w:r>
        <w:rPr>
          <w:b/>
          <w:bCs/>
          <w:color w:val="ffffff" w:themeColor="background1"/>
          <w:highlight w:val="none"/>
          <w:lang w:val="es-AR"/>
        </w:rPr>
      </w:r>
      <w:r>
        <w:rPr>
          <w:b/>
          <w:bCs/>
          <w:color w:val="ffffff" w:themeColor="background1"/>
        </w:rPr>
        <mc:AlternateContent>
          <mc:Choice Requires="wpg">
            <w:drawing>
              <wp:anchor xmlns:wp="http://schemas.openxmlformats.org/drawingml/2006/wordprocessingDrawing" xmlns:wp14="http://schemas.microsoft.com/office/word/2010/wordprocessingDrawing" distT="0" distB="0" distL="115200" distR="115200" simplePos="0" relativeHeight="3072" behindDoc="1" locked="0" layoutInCell="1" allowOverlap="1">
                <wp:simplePos x="0" y="0"/>
                <wp:positionH relativeFrom="column">
                  <wp:posOffset>-21885</wp:posOffset>
                </wp:positionH>
                <wp:positionV relativeFrom="paragraph">
                  <wp:posOffset>308033</wp:posOffset>
                </wp:positionV>
                <wp:extent cx="1762125" cy="228600"/>
                <wp:effectExtent l="6350" t="6350" r="6350" b="6350"/>
                <wp:wrapNone/>
                <wp:docPr id="2" name=""/>
                <wp:cNvGraphicFramePr/>
                <a:graphic xmlns:a="http://schemas.openxmlformats.org/drawingml/2006/main">
                  <a:graphicData uri="http://schemas.microsoft.com/office/word/2010/wordprocessingShape">
                    <wps:wsp>
                      <wps:cNvPr id="928938001" name=""/>
                      <wps:cNvSpPr/>
                      <wps:spPr bwMode="auto">
                        <a:xfrm rot="0" flipH="0" flipV="0">
                          <a:off x="0" y="0"/>
                          <a:ext cx="1762124" cy="22859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 o:spid="_x0000_s1" o:spt="1" type="#_x0000_t1" style="position:absolute;z-index:-3072;o:allowoverlap:true;o:allowincell:true;mso-position-horizontal-relative:text;margin-left:-1.72pt;mso-position-horizontal:absolute;mso-position-vertical-relative:text;margin-top:24.25pt;mso-position-vertical:absolute;width:138.75pt;height:18.00pt;mso-wrap-distance-left:9.07pt;mso-wrap-distance-top:0.00pt;mso-wrap-distance-right:9.07pt;mso-wrap-distance-bottom:0.00pt;rotation:0;visibility:visible;" fillcolor="#5B9BD5" strokecolor="#2D4D6A" strokeweight="1.00pt"/>
            </w:pict>
          </mc:Fallback>
        </mc:AlternateContent>
      </w:r>
      <w:r>
        <w:rPr>
          <w:b/>
          <w:bCs/>
          <w:color w:val="ffffff" w:themeColor="background1"/>
          <w:highlight w:val="none"/>
          <w:lang w:val="es-AR"/>
        </w:rPr>
        <w:t xml:space="preserve">Agenda General</w:t>
      </w:r>
      <w:r>
        <w:rPr>
          <w:b/>
          <w:bCs/>
          <w:color w:val="ffffff" w:themeColor="background1"/>
        </w:rPr>
      </w:r>
    </w:p>
    <w:p w14:paraId="01F8B41B">
      <w:pPr>
        <w:pBdr/>
        <w:spacing/>
        <w:ind/>
        <w:jc w:val="both"/>
        <w:rPr>
          <w:b/>
          <w:bCs/>
          <w:color w:val="ffffff" w:themeColor="background1"/>
          <w:highlight w:val="none"/>
        </w:rPr>
      </w:pPr>
      <w:r>
        <w:rPr>
          <w:b/>
          <w:bCs/>
          <w:color w:val="ffffff" w:themeColor="background1"/>
          <w:highlight w:val="none"/>
          <w:lang w:val="es-AR"/>
        </w:rPr>
      </w:r>
      <w:r>
        <w:rPr>
          <w:b/>
          <w:bCs/>
          <w:color w:val="ffffff" w:themeColor="background1"/>
        </w:rPr>
        <mc:AlternateContent>
          <mc:Choice Requires="wpg">
            <w:drawing>
              <wp:anchor xmlns:wp="http://schemas.openxmlformats.org/drawingml/2006/wordprocessingDrawing" xmlns:wp14="http://schemas.microsoft.com/office/word/2010/wordprocessingDrawing" distT="0" distB="0" distL="115200" distR="115200" simplePos="0" relativeHeight="4096" behindDoc="1" locked="0" layoutInCell="1" allowOverlap="1">
                <wp:simplePos x="0" y="0"/>
                <wp:positionH relativeFrom="column">
                  <wp:posOffset>-21885</wp:posOffset>
                </wp:positionH>
                <wp:positionV relativeFrom="paragraph">
                  <wp:posOffset>291571</wp:posOffset>
                </wp:positionV>
                <wp:extent cx="1314450" cy="238125"/>
                <wp:effectExtent l="0" t="0" r="0" b="0"/>
                <wp:wrapNone/>
                <wp:docPr id="3" name=""/>
                <wp:cNvGraphicFramePr/>
                <a:graphic xmlns:a="http://schemas.openxmlformats.org/drawingml/2006/main">
                  <a:graphicData uri="http://schemas.microsoft.com/office/word/2010/wordprocessingShape">
                    <wps:wsp>
                      <wps:cNvPr id="1660282750" name=""/>
                      <wps:cNvSpPr/>
                      <wps:spPr bwMode="auto">
                        <a:xfrm rot="0" flipH="0" flipV="0">
                          <a:off x="0" y="0"/>
                          <a:ext cx="1314449" cy="23812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 o:spid="_x0000_s2" o:spt="1" type="#_x0000_t1" style="position:absolute;z-index:-4096;o:allowoverlap:true;o:allowincell:true;mso-position-horizontal-relative:text;margin-left:-1.72pt;mso-position-horizontal:absolute;mso-position-vertical-relative:text;margin-top:22.96pt;mso-position-vertical:absolute;width:103.50pt;height:18.75pt;mso-wrap-distance-left:9.07pt;mso-wrap-distance-top:0.00pt;mso-wrap-distance-right:9.07pt;mso-wrap-distance-bottom:0.00pt;rotation:0;visibility:visible;" fillcolor="#5B9BD5" strokecolor="#2D4D6A" strokeweight="1.00pt"/>
            </w:pict>
          </mc:Fallback>
        </mc:AlternateContent>
      </w:r>
      <w:r>
        <w:rPr>
          <w:b/>
          <w:bCs/>
          <w:color w:val="ffffff" w:themeColor="background1"/>
          <w:highlight w:val="none"/>
          <w:lang w:val="es-AR"/>
        </w:rPr>
        <w:t xml:space="preserve">Agenda por Dependencia</w:t>
      </w:r>
      <w:r>
        <w:rPr>
          <w:b/>
          <w:bCs/>
          <w:color w:val="ffffff" w:themeColor="background1"/>
        </w:rPr>
      </w:r>
    </w:p>
    <w:p w14:paraId="2A8E582F">
      <w:pPr>
        <w:pBdr/>
        <w:spacing/>
        <w:ind/>
        <w:jc w:val="both"/>
        <w:rPr>
          <w:b/>
          <w:bCs/>
          <w:color w:val="ffffff" w:themeColor="background1"/>
          <w:highlight w:val="none"/>
        </w:rPr>
      </w:pPr>
      <w:r>
        <w:rPr>
          <w:b/>
          <w:bCs/>
          <w:color w:val="ffffff" w:themeColor="background1"/>
          <w:highlight w:val="none"/>
          <w:lang w:val="es-AR"/>
        </w:rPr>
        <w:t xml:space="preserve">Agenda por Agente</w:t>
      </w:r>
      <w:r>
        <w:rPr>
          <w:b/>
          <w:bCs/>
          <w:color w:val="ffffff" w:themeColor="background1"/>
        </w:rPr>
      </w:r>
    </w:p>
    <w:p w14:paraId="37ECFD39">
      <w:pPr>
        <w:pBdr/>
        <w:spacing/>
        <w:ind/>
        <w:jc w:val="both"/>
        <w:rPr>
          <w:color w:val="000000" w:themeColor="text1"/>
          <w:highlight w:val="none"/>
          <w:lang w:val="es-AR"/>
        </w:rPr>
      </w:pPr>
      <w:r>
        <w:rPr>
          <w:highlight w:val="none"/>
          <w:lang w:val="es-AR"/>
        </w:rPr>
      </w:r>
      <w:r>
        <w:rPr>
          <w:color w:val="000000" w:themeColor="text1"/>
          <w:highlight w:val="none"/>
          <w:lang w:val="es-AR"/>
        </w:rPr>
        <w:t xml:space="preserve">Ahora bien, los expedientes judiciales, que son donde se señalan las audiencias tiene oficinas colaborativas, por ejemplo: en un expte. De la Fiscalia 1, participa la Defensoria 6, entonces la agenda de la Defensoría 6 tendria que poder ver las audiencias señaladas por la Fiscalia 1 solo en lo pertinente a donde participe la Defensoria 6. Entonces, se debe estructurar los tipos de audiencias donde participen ambas oficinas, la Fiscalia y la Defensoria.</w:t>
      </w:r>
      <w:r>
        <w:rPr>
          <w:color w:val="000000" w:themeColor="text1"/>
        </w:rPr>
      </w:r>
    </w:p>
    <w:p w14:paraId="5FF56086">
      <w:pPr>
        <w:pBdr/>
        <w:spacing/>
        <w:ind/>
        <w:jc w:val="both"/>
        <w:rPr>
          <w:color w:val="000000" w:themeColor="text1"/>
          <w:highlight w:val="none"/>
          <w:lang w:val="es-AR"/>
        </w:rPr>
      </w:pPr>
      <w:r>
        <w:rPr>
          <w:color w:val="000000" w:themeColor="text1"/>
          <w:highlight w:val="none"/>
          <w:lang w:val="es-AR"/>
        </w:rPr>
        <w:t xml:space="preserve">Estas audiencias podrías ser categorizadas asi, ademas de diferenciar el fuero de las dependencias, dado que existen distintos tipos de audiencias por tipo de fuero, segun el archivo excel que te adjunto.</w:t>
      </w:r>
      <w:r>
        <w:rPr>
          <w:color w:val="000000" w:themeColor="text1"/>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F57EB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2026-10-30T10:46:23Z</dcterms:modified>
</cp:coreProperties>
</file>