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rFonts w:ascii="Calibri" w:cs="Calibri" w:eastAsia="Calibri" w:hAnsi="Calibri"/>
          <w:b/>
          <w:bCs/>
          <w:color w:val="1A4F8A"/>
          <w:sz w:val="24"/>
          <w:szCs w:val="24"/>
        </w:rPr>
        <w:t xml:space="preserve">PODER JUDICIAL DEL CHACO</w:t>
      </w:r>
    </w:p>
    <w:p>
      <w:pPr>
        <w:spacing w:after="80" w:before="200"/>
      </w:pPr>
      <w:r>
        <w:rPr>
          <w:rFonts w:ascii="Calibri" w:cs="Calibri" w:eastAsia="Calibri" w:hAnsi="Calibri"/>
          <w:b/>
          <w:bCs/>
          <w:color w:val="12263A"/>
          <w:spacing w:val="200"/>
          <w:sz w:val="56"/>
          <w:szCs w:val="56"/>
        </w:rPr>
        <w:t xml:space="preserve">EVIDIA</w:t>
      </w:r>
    </w:p>
    <w:p>
      <w:pPr>
        <w:spacing w:after="200"/>
      </w:pPr>
      <w:r>
        <w:rPr>
          <w:rFonts w:ascii="Calibri" w:cs="Calibri" w:eastAsia="Calibri" w:hAnsi="Calibri"/>
          <w:color w:val="66788A"/>
          <w:sz w:val="24"/>
          <w:szCs w:val="24"/>
        </w:rPr>
        <w:t xml:space="preserve">Sistema de Extracción y Verificación de Evidencia Digital</w:t>
      </w:r>
    </w:p>
    <w:p>
      <w:pPr>
        <w:spacing w:after="80" w:before="300"/>
      </w:pPr>
      <w:r>
        <w:rPr>
          <w:rFonts w:ascii="Calibri" w:cs="Calibri" w:eastAsia="Calibri" w:hAnsi="Calibri"/>
          <w:b/>
          <w:bCs/>
          <w:color w:val="12263A"/>
          <w:sz w:val="32"/>
          <w:szCs w:val="32"/>
        </w:rPr>
        <w:t xml:space="preserve">Manual de uso y procedimiento de extracción de evidencia</w:t>
      </w:r>
    </w:p>
    <w:p>
      <w:pPr>
        <w:spacing w:after="80"/>
      </w:pPr>
      <w:r>
        <w:rPr>
          <w:rFonts w:ascii="Calibri" w:cs="Calibri" w:eastAsia="Calibri" w:hAnsi="Calibri"/>
          <w:i/>
          <w:iCs/>
          <w:color w:val="66788A"/>
          <w:sz w:val="22"/>
          <w:szCs w:val="22"/>
        </w:rPr>
        <w:t xml:space="preserve">Estación de la computadora y aplicación del teléfono</w:t>
      </w:r>
    </w:p>
    <w:p>
      <w:pPr>
        <w:spacing w:after="80" w:before="400"/>
      </w:pPr>
      <w:r>
        <w:rPr>
          <w:rFonts w:ascii="Calibri" w:cs="Calibri" w:eastAsia="Calibri" w:hAnsi="Calibri"/>
          <w:color w:val="12263A"/>
          <w:sz w:val="20"/>
          <w:szCs w:val="20"/>
        </w:rPr>
        <w:t xml:space="preserve">9 de octubre de 2026</w:t>
      </w:r>
    </w:p>
    <w:p>
      <w:pPr>
        <w:shd w:fill="E7EEF6" w:val="clear"/>
        <w:spacing w:after="400" w:before="300"/>
      </w:pPr>
      <w:r>
        <w:rPr>
          <w:rFonts w:ascii="Calibri" w:cs="Calibri" w:eastAsia="Calibri" w:hAnsi="Calibri"/>
          <w:color w:val="12263A"/>
          <w:sz w:val="20"/>
          <w:szCs w:val="20"/>
        </w:rPr>
        <w:t xml:space="preserve">Versión editable. El archivo PDF de esta misma carpeta es la versión de distribución de esta fecha. Cualquier cambio de procedimiento se incorpora primero en este documento y después se vuelve a emitir el PDF.</w:t>
      </w:r>
    </w:p>
    <w:p>
      <w:pPr>
        <w:pStyle w:val="Heading1"/>
        <w:spacing w:after="120" w:before="360"/>
      </w:pPr>
      <w:r>
        <w:rPr>
          <w:rFonts w:ascii="Calibri" w:cs="Calibri" w:eastAsia="Calibri" w:hAnsi="Calibri"/>
          <w:b/>
          <w:bCs/>
          <w:color w:val="1A4F8A"/>
          <w:sz w:val="28"/>
          <w:szCs w:val="28"/>
        </w:rPr>
        <w:t xml:space="preserve">1. Para qué sirve este manual</w:t>
      </w:r>
    </w:p>
    <w:p>
      <w:pPr>
        <w:spacing w:after="120"/>
      </w:pPr>
      <w:r>
        <w:rPr>
          <w:rFonts w:ascii="Calibri" w:cs="Calibri" w:eastAsia="Calibri" w:hAnsi="Calibri"/>
          <w:color w:val="12263A"/>
          <w:sz w:val="22"/>
          <w:szCs w:val="22"/>
        </w:rPr>
        <w:t xml:space="preserve">Este manual describe cómo se usa EVIDIA para recibir evidencia digital en una causa. Hay dos puestos: la estación, que se abre en la computadora del equipo, y la app EVIDIA, que usa la persona que aporta los archivos desde su teléfono.</w:t>
      </w:r>
    </w:p>
    <w:p>
      <w:pPr>
        <w:spacing w:after="120"/>
      </w:pPr>
      <w:r>
        <w:rPr>
          <w:rFonts w:ascii="Calibri" w:cs="Calibri" w:eastAsia="Calibri" w:hAnsi="Calibri"/>
          <w:color w:val="12263A"/>
          <w:sz w:val="22"/>
          <w:szCs w:val="22"/>
        </w:rPr>
        <w:t xml:space="preserve">La estación no se administra desde otra computadora de la red. Se abre en la misma PC donde quedan guardados los archivos, en http://127.0.0.1:4780.</w:t>
      </w:r>
    </w:p>
    <w:p>
      <w:pPr>
        <w:pStyle w:val="Heading1"/>
        <w:spacing w:after="120" w:before="360"/>
      </w:pPr>
      <w:r>
        <w:rPr>
          <w:rFonts w:ascii="Calibri" w:cs="Calibri" w:eastAsia="Calibri" w:hAnsi="Calibri"/>
          <w:b/>
          <w:bCs/>
          <w:color w:val="1A4F8A"/>
          <w:sz w:val="28"/>
          <w:szCs w:val="28"/>
        </w:rPr>
        <w:t xml:space="preserve">2. Qué hace y qué no hace</w:t>
      </w:r>
    </w:p>
    <w:p>
      <w:pPr>
        <w:spacing w:after="120"/>
      </w:pPr>
      <w:r>
        <w:rPr>
          <w:rFonts w:ascii="Calibri" w:cs="Calibri" w:eastAsia="Calibri" w:hAnsi="Calibri"/>
          <w:color w:val="12263A"/>
          <w:sz w:val="22"/>
          <w:szCs w:val="22"/>
        </w:rPr>
        <w:t xml:space="preserve">EVIDIA recibe los archivos que la persona elige o que captura en el momento, y los guarda en la estación con su huella SHA-256. No lee la bandeja de mensajes, no copia bases de WhatsApp ni de otras aplicaciones, no recupera archivos borrados y no arma una imagen forense del teléfono.</w:t>
      </w:r>
    </w:p>
    <w:p>
      <w:pPr>
        <w:pStyle w:val="ListParagraph"/>
        <w:numPr>
          <w:ilvl w:val="0"/>
          <w:numId w:val="1"/>
        </w:numPr>
        <w:spacing w:after="60"/>
      </w:pPr>
      <w:r>
        <w:rPr>
          <w:rFonts w:ascii="Calibri" w:cs="Calibri" w:eastAsia="Calibri" w:hAnsi="Calibri"/>
          <w:color w:val="12263A"/>
          <w:sz w:val="22"/>
          <w:szCs w:val="22"/>
        </w:rPr>
        <w:t xml:space="preserve">Por la app solo salen del teléfono las fotos, los videos y los documentos que la persona incorporó a EVIDIA y envió durante una sesión abierta.</w:t>
      </w:r>
    </w:p>
    <w:p>
      <w:pPr>
        <w:pStyle w:val="ListParagraph"/>
        <w:numPr>
          <w:ilvl w:val="0"/>
          <w:numId w:val="1"/>
        </w:numPr>
        <w:spacing w:after="60"/>
      </w:pPr>
      <w:r>
        <w:rPr>
          <w:rFonts w:ascii="Calibri" w:cs="Calibri" w:eastAsia="Calibri" w:hAnsi="Calibri"/>
          <w:color w:val="12263A"/>
          <w:sz w:val="22"/>
          <w:szCs w:val="22"/>
        </w:rPr>
        <w:t xml:space="preserve">Por el cable USB, la estación puede ver la pantalla, guardar una captura o grabar lo que se está mostrando. La persona tiene que aceptar la depuración USB en el teléfono.</w:t>
      </w:r>
    </w:p>
    <w:p>
      <w:pPr>
        <w:pStyle w:val="ListParagraph"/>
        <w:numPr>
          <w:ilvl w:val="0"/>
          <w:numId w:val="1"/>
        </w:numPr>
        <w:spacing w:after="60"/>
      </w:pPr>
      <w:r>
        <w:rPr>
          <w:rFonts w:ascii="Calibri" w:cs="Calibri" w:eastAsia="Calibri" w:hAnsi="Calibri"/>
          <w:color w:val="12263A"/>
          <w:sz w:val="22"/>
          <w:szCs w:val="22"/>
        </w:rPr>
        <w:t xml:space="preserve">Nada se envía a internet. El teléfono y la computadora se hablan por la red local.</w:t>
      </w:r>
    </w:p>
    <w:p>
      <w:pPr>
        <w:pStyle w:val="Heading1"/>
        <w:spacing w:after="120" w:before="360"/>
      </w:pPr>
      <w:r>
        <w:rPr>
          <w:rFonts w:ascii="Calibri" w:cs="Calibri" w:eastAsia="Calibri" w:hAnsi="Calibri"/>
          <w:b/>
          <w:bCs/>
          <w:color w:val="1A4F8A"/>
          <w:sz w:val="28"/>
          <w:szCs w:val="28"/>
        </w:rPr>
        <w:t xml:space="preserve">3. Antes de empezar</w:t>
      </w:r>
    </w:p>
    <w:p>
      <w:pPr>
        <w:pStyle w:val="Heading2"/>
        <w:spacing w:after="80" w:before="240"/>
      </w:pPr>
      <w:r>
        <w:rPr>
          <w:rFonts w:ascii="Calibri" w:cs="Calibri" w:eastAsia="Calibri" w:hAnsi="Calibri"/>
          <w:b/>
          <w:bCs/>
          <w:color w:val="12263A"/>
          <w:sz w:val="24"/>
          <w:szCs w:val="24"/>
        </w:rPr>
        <w:t xml:space="preserve">3.1. Computadora</w:t>
      </w:r>
    </w:p>
    <w:p>
      <w:pPr>
        <w:pStyle w:val="ListParagraph"/>
        <w:numPr>
          <w:ilvl w:val="0"/>
          <w:numId w:val="1"/>
        </w:numPr>
        <w:spacing w:after="60"/>
      </w:pPr>
      <w:r>
        <w:rPr>
          <w:rFonts w:ascii="Calibri" w:cs="Calibri" w:eastAsia="Calibri" w:hAnsi="Calibri"/>
          <w:color w:val="12263A"/>
          <w:sz w:val="22"/>
          <w:szCs w:val="22"/>
        </w:rPr>
        <w:t xml:space="preserve">Windows, con Node.js instalado. La primera vez, en la carpeta del sistema, se ejecuta iniciar-estacion.bat. Ese archivo instala lo que falte, prepara la estación y la deja abierta.</w:t>
      </w:r>
    </w:p>
    <w:p>
      <w:pPr>
        <w:pStyle w:val="ListParagraph"/>
        <w:numPr>
          <w:ilvl w:val="0"/>
          <w:numId w:val="1"/>
        </w:numPr>
        <w:spacing w:after="60"/>
      </w:pPr>
      <w:r>
        <w:rPr>
          <w:rFonts w:ascii="Calibri" w:cs="Calibri" w:eastAsia="Calibri" w:hAnsi="Calibri"/>
          <w:color w:val="12263A"/>
          <w:sz w:val="22"/>
          <w:szCs w:val="22"/>
        </w:rPr>
        <w:t xml:space="preserve">En el navegador de esa misma computadora: http://127.0.0.1:4780.</w:t>
      </w:r>
    </w:p>
    <w:p>
      <w:pPr>
        <w:pStyle w:val="ListParagraph"/>
        <w:numPr>
          <w:ilvl w:val="0"/>
          <w:numId w:val="1"/>
        </w:numPr>
        <w:spacing w:after="60"/>
      </w:pPr>
      <w:r>
        <w:rPr>
          <w:rFonts w:ascii="Calibri" w:cs="Calibri" w:eastAsia="Calibri" w:hAnsi="Calibri"/>
          <w:color w:val="12263A"/>
          <w:sz w:val="22"/>
          <w:szCs w:val="22"/>
        </w:rPr>
        <w:t xml:space="preserve">La cuenta de Windows tiene que ser del dominio de la organización. EVIDIA lee el DNI del atributo de Active Directory y con ese dato consulta SIGI.</w:t>
      </w:r>
    </w:p>
    <w:p>
      <w:pPr>
        <w:pStyle w:val="ListParagraph"/>
        <w:numPr>
          <w:ilvl w:val="0"/>
          <w:numId w:val="1"/>
        </w:numPr>
        <w:spacing w:after="60"/>
      </w:pPr>
      <w:r>
        <w:rPr>
          <w:rFonts w:ascii="Calibri" w:cs="Calibri" w:eastAsia="Calibri" w:hAnsi="Calibri"/>
          <w:color w:val="12263A"/>
          <w:sz w:val="22"/>
          <w:szCs w:val="22"/>
        </w:rPr>
        <w:t xml:space="preserve">La conexión a la base de SIGI se configura en la estación. No se escribe en este manual.</w:t>
      </w:r>
    </w:p>
    <w:p>
      <w:pPr>
        <w:pStyle w:val="Heading2"/>
        <w:spacing w:after="80" w:before="240"/>
      </w:pPr>
      <w:r>
        <w:rPr>
          <w:rFonts w:ascii="Calibri" w:cs="Calibri" w:eastAsia="Calibri" w:hAnsi="Calibri"/>
          <w:b/>
          <w:bCs/>
          <w:color w:val="12263A"/>
          <w:sz w:val="24"/>
          <w:szCs w:val="24"/>
        </w:rPr>
        <w:t xml:space="preserve">3.2. Teléfono y red</w:t>
      </w:r>
    </w:p>
    <w:p>
      <w:pPr>
        <w:pStyle w:val="ListParagraph"/>
        <w:numPr>
          <w:ilvl w:val="0"/>
          <w:numId w:val="1"/>
        </w:numPr>
        <w:spacing w:after="60"/>
      </w:pPr>
      <w:r>
        <w:rPr>
          <w:rFonts w:ascii="Calibri" w:cs="Calibri" w:eastAsia="Calibri" w:hAnsi="Calibri"/>
          <w:color w:val="12263A"/>
          <w:sz w:val="22"/>
          <w:szCs w:val="22"/>
        </w:rPr>
        <w:t xml:space="preserve">El teléfono y la computadora tienen que verse entre sí. Si el teléfono usa el punto de acceso de la PC, la red de la sesión es la que empieza con 192.168.137.</w:t>
      </w:r>
    </w:p>
    <w:p>
      <w:pPr>
        <w:pStyle w:val="ListParagraph"/>
        <w:numPr>
          <w:ilvl w:val="0"/>
          <w:numId w:val="1"/>
        </w:numPr>
        <w:spacing w:after="60"/>
      </w:pPr>
      <w:r>
        <w:rPr>
          <w:rFonts w:ascii="Calibri" w:cs="Calibri" w:eastAsia="Calibri" w:hAnsi="Calibri"/>
          <w:color w:val="12263A"/>
          <w:sz w:val="22"/>
          <w:szCs w:val="22"/>
        </w:rPr>
        <w:t xml:space="preserve">Hay dos códigos distintos. El de Expo Go abre la app. El de la causa, que muestra la estación, se escanea dentro de EVIDIA para enviar la evidencia. No son intercambiables.</w:t>
      </w:r>
    </w:p>
    <w:p>
      <w:pPr>
        <w:pStyle w:val="ListParagraph"/>
        <w:numPr>
          <w:ilvl w:val="0"/>
          <w:numId w:val="1"/>
        </w:numPr>
        <w:spacing w:after="60"/>
      </w:pPr>
      <w:r>
        <w:rPr>
          <w:rFonts w:ascii="Calibri" w:cs="Calibri" w:eastAsia="Calibri" w:hAnsi="Calibri"/>
          <w:color w:val="12263A"/>
          <w:sz w:val="22"/>
          <w:szCs w:val="22"/>
        </w:rPr>
        <w:t xml:space="preserve">Para la captura por cable hace falta un cable de datos, no solo de carga, y aceptar en el teléfono el aviso «Permitir la depuración por USB».</w:t>
      </w:r>
    </w:p>
    <w:p>
      <w:pPr>
        <w:pStyle w:val="Heading1"/>
        <w:spacing w:after="120" w:before="360"/>
      </w:pPr>
      <w:r>
        <w:rPr>
          <w:rFonts w:ascii="Calibri" w:cs="Calibri" w:eastAsia="Calibri" w:hAnsi="Calibri"/>
          <w:b/>
          <w:bCs/>
          <w:color w:val="1A4F8A"/>
          <w:sz w:val="28"/>
          <w:szCs w:val="28"/>
        </w:rPr>
        <w:t xml:space="preserve">4. Identificación de quien carga la prueba</w:t>
      </w:r>
    </w:p>
    <w:p>
      <w:pPr>
        <w:pStyle w:val="ListParagraph"/>
        <w:numPr>
          <w:ilvl w:val="0"/>
          <w:numId w:val="2"/>
        </w:numPr>
        <w:spacing w:after="60"/>
      </w:pPr>
      <w:r>
        <w:rPr>
          <w:rFonts w:ascii="Calibri" w:cs="Calibri" w:eastAsia="Calibri" w:hAnsi="Calibri"/>
          <w:color w:val="12263A"/>
          <w:sz w:val="22"/>
          <w:szCs w:val="22"/>
        </w:rPr>
        <w:t xml:space="preserve">Abrir la estación. EVIDIA toma el usuario de Windows y el DNI desde Active Directory. No se tipea el DNI.</w:t>
      </w:r>
    </w:p>
    <w:p>
      <w:pPr>
        <w:pStyle w:val="ListParagraph"/>
        <w:numPr>
          <w:ilvl w:val="0"/>
          <w:numId w:val="2"/>
        </w:numPr>
        <w:spacing w:after="60"/>
      </w:pPr>
      <w:r>
        <w:rPr>
          <w:rFonts w:ascii="Calibri" w:cs="Calibri" w:eastAsia="Calibri" w:hAnsi="Calibri"/>
          <w:color w:val="12263A"/>
          <w:sz w:val="22"/>
          <w:szCs w:val="22"/>
        </w:rPr>
        <w:t xml:space="preserve">SIGI devuelve el nombre y las dependencias habilitadas para esa persona.</w:t>
      </w:r>
    </w:p>
    <w:p>
      <w:pPr>
        <w:pStyle w:val="ListParagraph"/>
        <w:numPr>
          <w:ilvl w:val="0"/>
          <w:numId w:val="2"/>
        </w:numPr>
        <w:spacing w:after="60"/>
      </w:pPr>
      <w:r>
        <w:rPr>
          <w:rFonts w:ascii="Calibri" w:cs="Calibri" w:eastAsia="Calibri" w:hAnsi="Calibri"/>
          <w:color w:val="12263A"/>
          <w:sz w:val="22"/>
          <w:szCs w:val="22"/>
        </w:rPr>
        <w:t xml:space="preserve">Si hay más de una dependencia, el selector muestra solo las habilitadas. Elegir aquella donde se va a cargar la evidencia. La lista de causas queda limitada a esa dependencia.</w:t>
      </w:r>
    </w:p>
    <w:p>
      <w:pPr>
        <w:spacing w:after="120"/>
      </w:pPr>
      <w:r>
        <w:rPr>
          <w:rFonts w:ascii="Calibri" w:cs="Calibri" w:eastAsia="Calibri" w:hAnsi="Calibri"/>
          <w:color w:val="12263A"/>
          <w:sz w:val="22"/>
          <w:szCs w:val="22"/>
        </w:rPr>
        <w:t xml:space="preserve">Al cambiar la dependencia, desaparecen las causas de las otras oficinas. Para verlas hay que volver a elegir esa dependencia en el selector.</w:t>
      </w:r>
    </w:p>
    <w:p>
      <w:pPr>
        <w:shd w:fill="FDECEB" w:val="clear"/>
        <w:spacing w:after="160" w:before="120"/>
      </w:pPr>
      <w:r>
        <w:rPr>
          <w:rFonts w:ascii="Calibri" w:cs="Calibri" w:eastAsia="Calibri" w:hAnsi="Calibri"/>
          <w:b/>
          <w:bCs/>
          <w:color w:val="9B3B32"/>
          <w:sz w:val="22"/>
          <w:szCs w:val="22"/>
        </w:rPr>
        <w:t xml:space="preserve">Importante. </w:t>
      </w:r>
      <w:r>
        <w:rPr>
          <w:rFonts w:ascii="Calibri" w:cs="Calibri" w:eastAsia="Calibri" w:hAnsi="Calibri"/>
          <w:color w:val="9B3B32"/>
          <w:sz w:val="22"/>
          <w:szCs w:val="22"/>
        </w:rPr>
        <w:t xml:space="preserve">Solo se puede crear una causa si la dependencia de radicación del expediente está habilitada para ese usuario en SIGI. Si no coincide, el alta queda bloqueada.</w:t>
      </w:r>
    </w:p>
    <w:p>
      <w:pPr>
        <w:pStyle w:val="Heading1"/>
        <w:spacing w:after="120" w:before="360"/>
      </w:pPr>
      <w:r>
        <w:rPr>
          <w:rFonts w:ascii="Calibri" w:cs="Calibri" w:eastAsia="Calibri" w:hAnsi="Calibri"/>
          <w:b/>
          <w:bCs/>
          <w:color w:val="1A4F8A"/>
          <w:sz w:val="28"/>
          <w:szCs w:val="28"/>
        </w:rPr>
        <w:t xml:space="preserve">5. Alta de la causa</w:t>
      </w:r>
    </w:p>
    <w:p>
      <w:pPr>
        <w:pStyle w:val="ListParagraph"/>
        <w:numPr>
          <w:ilvl w:val="0"/>
          <w:numId w:val="3"/>
        </w:numPr>
        <w:spacing w:after="60"/>
      </w:pPr>
      <w:r>
        <w:rPr>
          <w:rFonts w:ascii="Calibri" w:cs="Calibri" w:eastAsia="Calibri" w:hAnsi="Calibri"/>
          <w:color w:val="12263A"/>
          <w:sz w:val="22"/>
          <w:szCs w:val="22"/>
        </w:rPr>
        <w:t xml:space="preserve">En la estación, tocar Nueva causa.</w:t>
      </w:r>
    </w:p>
    <w:p>
      <w:pPr>
        <w:pStyle w:val="ListParagraph"/>
        <w:numPr>
          <w:ilvl w:val="0"/>
          <w:numId w:val="3"/>
        </w:numPr>
        <w:spacing w:after="60"/>
      </w:pPr>
      <w:r>
        <w:rPr>
          <w:rFonts w:ascii="Calibri" w:cs="Calibri" w:eastAsia="Calibri" w:hAnsi="Calibri"/>
          <w:color w:val="12263A"/>
          <w:sz w:val="22"/>
          <w:szCs w:val="22"/>
        </w:rPr>
        <w:t xml:space="preserve">Escribir el número de expediente tal como figura en SIGI, con las barras. Ejemplo: 1/2021-1.</w:t>
      </w:r>
    </w:p>
    <w:p>
      <w:pPr>
        <w:pStyle w:val="ListParagraph"/>
        <w:numPr>
          <w:ilvl w:val="0"/>
          <w:numId w:val="3"/>
        </w:numPr>
        <w:spacing w:after="60"/>
      </w:pPr>
      <w:r>
        <w:rPr>
          <w:rFonts w:ascii="Calibri" w:cs="Calibri" w:eastAsia="Calibri" w:hAnsi="Calibri"/>
          <w:color w:val="12263A"/>
          <w:sz w:val="22"/>
          <w:szCs w:val="22"/>
        </w:rPr>
        <w:t xml:space="preserve">Tocar Consultar expediente. La estación completa la carátula, la dependencia y el proceso.</w:t>
      </w:r>
    </w:p>
    <w:p>
      <w:pPr>
        <w:pStyle w:val="ListParagraph"/>
        <w:numPr>
          <w:ilvl w:val="0"/>
          <w:numId w:val="3"/>
        </w:numPr>
        <w:spacing w:after="60"/>
      </w:pPr>
      <w:r>
        <w:rPr>
          <w:rFonts w:ascii="Calibri" w:cs="Calibri" w:eastAsia="Calibri" w:hAnsi="Calibri"/>
          <w:color w:val="12263A"/>
          <w:sz w:val="22"/>
          <w:szCs w:val="22"/>
        </w:rPr>
        <w:t xml:space="preserve">Revisar que la dependencia del expediente sea una de las habilitadas y que, si hay varias, esté elegida esa misma en el selector.</w:t>
      </w:r>
    </w:p>
    <w:p>
      <w:pPr>
        <w:pStyle w:val="ListParagraph"/>
        <w:numPr>
          <w:ilvl w:val="0"/>
          <w:numId w:val="3"/>
        </w:numPr>
        <w:spacing w:after="60"/>
      </w:pPr>
      <w:r>
        <w:rPr>
          <w:rFonts w:ascii="Calibri" w:cs="Calibri" w:eastAsia="Calibri" w:hAnsi="Calibri"/>
          <w:color w:val="12263A"/>
          <w:sz w:val="22"/>
          <w:szCs w:val="22"/>
        </w:rPr>
        <w:t xml:space="preserve">Tocar Crear causa.</w:t>
      </w:r>
    </w:p>
    <w:p>
      <w:pPr>
        <w:spacing w:after="120"/>
      </w:pPr>
      <w:r>
        <w:rPr>
          <w:rFonts w:ascii="Calibri" w:cs="Calibri" w:eastAsia="Calibri" w:hAnsi="Calibri"/>
          <w:color w:val="12263A"/>
          <w:sz w:val="22"/>
          <w:szCs w:val="22"/>
        </w:rPr>
        <w:t xml:space="preserve">Si la consulta no corresponde a una dependencia habilitada, Crear causa permanece deshabilitado y la estación explica el motivo. No se guarda la causa.</w:t>
      </w:r>
    </w:p>
    <w:p>
      <w:pPr>
        <w:pStyle w:val="Heading1"/>
        <w:spacing w:after="120" w:before="360"/>
      </w:pPr>
      <w:r>
        <w:rPr>
          <w:rFonts w:ascii="Calibri" w:cs="Calibri" w:eastAsia="Calibri" w:hAnsi="Calibri"/>
          <w:b/>
          <w:bCs/>
          <w:color w:val="1A4F8A"/>
          <w:sz w:val="28"/>
          <w:szCs w:val="28"/>
        </w:rPr>
        <w:t xml:space="preserve">6. Procedimiento por la app</w:t>
      </w:r>
    </w:p>
    <w:p>
      <w:pPr>
        <w:spacing w:after="120"/>
      </w:pPr>
      <w:r>
        <w:rPr>
          <w:rFonts w:ascii="Calibri" w:cs="Calibri" w:eastAsia="Calibri" w:hAnsi="Calibri"/>
          <w:color w:val="12263A"/>
          <w:sz w:val="22"/>
          <w:szCs w:val="22"/>
        </w:rPr>
        <w:t xml:space="preserve">Este camino sirve cuando la persona aporta fotos, videos o documentos que ya están en el teléfono, o que toma en el momento con la cámara. Los archivos quedan en el teléfono hasta que se envían.</w:t>
      </w:r>
    </w:p>
    <w:p>
      <w:pPr>
        <w:pStyle w:val="Heading2"/>
        <w:spacing w:after="80" w:before="240"/>
      </w:pPr>
      <w:r>
        <w:rPr>
          <w:rFonts w:ascii="Calibri" w:cs="Calibri" w:eastAsia="Calibri" w:hAnsi="Calibri"/>
          <w:b/>
          <w:bCs/>
          <w:color w:val="12263A"/>
          <w:sz w:val="24"/>
          <w:szCs w:val="24"/>
        </w:rPr>
        <w:t xml:space="preserve">6.1. En la estación</w:t>
      </w:r>
    </w:p>
    <w:p>
      <w:pPr>
        <w:pStyle w:val="ListParagraph"/>
        <w:numPr>
          <w:ilvl w:val="0"/>
          <w:numId w:val="4"/>
        </w:numPr>
        <w:spacing w:after="60"/>
      </w:pPr>
      <w:r>
        <w:rPr>
          <w:rFonts w:ascii="Calibri" w:cs="Calibri" w:eastAsia="Calibri" w:hAnsi="Calibri"/>
          <w:color w:val="12263A"/>
          <w:sz w:val="22"/>
          <w:szCs w:val="22"/>
        </w:rPr>
        <w:t xml:space="preserve">Abrir la causa.</w:t>
      </w:r>
    </w:p>
    <w:p>
      <w:pPr>
        <w:pStyle w:val="ListParagraph"/>
        <w:numPr>
          <w:ilvl w:val="0"/>
          <w:numId w:val="4"/>
        </w:numPr>
        <w:spacing w:after="60"/>
      </w:pPr>
      <w:r>
        <w:rPr>
          <w:rFonts w:ascii="Calibri" w:cs="Calibri" w:eastAsia="Calibri" w:hAnsi="Calibri"/>
          <w:color w:val="12263A"/>
          <w:sz w:val="22"/>
          <w:szCs w:val="22"/>
        </w:rPr>
        <w:t xml:space="preserve">En Conectar un teléfono, elegir la red de esta PC por la que el teléfono llega. Si está en el punto de acceso de la computadora, elegir esa red.</w:t>
      </w:r>
    </w:p>
    <w:p>
      <w:pPr>
        <w:pStyle w:val="ListParagraph"/>
        <w:numPr>
          <w:ilvl w:val="0"/>
          <w:numId w:val="4"/>
        </w:numPr>
        <w:spacing w:after="60"/>
      </w:pPr>
      <w:r>
        <w:rPr>
          <w:rFonts w:ascii="Calibri" w:cs="Calibri" w:eastAsia="Calibri" w:hAnsi="Calibri"/>
          <w:color w:val="12263A"/>
          <w:sz w:val="22"/>
          <w:szCs w:val="22"/>
        </w:rPr>
        <w:t xml:space="preserve">Tocar Abrir sesión de descarga. Aparece un código QR y un código escrito, por ejemplo ABCD-EFGH. La sesión dura dos horas.</w:t>
      </w:r>
    </w:p>
    <w:p>
      <w:pPr>
        <w:pStyle w:val="Heading2"/>
        <w:spacing w:after="80" w:before="240"/>
      </w:pPr>
      <w:r>
        <w:rPr>
          <w:rFonts w:ascii="Calibri" w:cs="Calibri" w:eastAsia="Calibri" w:hAnsi="Calibri"/>
          <w:b/>
          <w:bCs/>
          <w:color w:val="12263A"/>
          <w:sz w:val="24"/>
          <w:szCs w:val="24"/>
        </w:rPr>
        <w:t xml:space="preserve">6.2. En el teléfono</w:t>
      </w:r>
    </w:p>
    <w:p>
      <w:pPr>
        <w:pStyle w:val="ListParagraph"/>
        <w:numPr>
          <w:ilvl w:val="0"/>
          <w:numId w:val="5"/>
        </w:numPr>
        <w:spacing w:after="60"/>
      </w:pPr>
      <w:r>
        <w:rPr>
          <w:rFonts w:ascii="Calibri" w:cs="Calibri" w:eastAsia="Calibri" w:hAnsi="Calibri"/>
          <w:color w:val="12263A"/>
          <w:sz w:val="22"/>
          <w:szCs w:val="22"/>
        </w:rPr>
        <w:t xml:space="preserve">Abrir EVIDIA. Si está instalada en el teléfono, se abre directo. Si todavía no, se abre con Expo Go mediante el código de la app, no con el código de la causa.</w:t>
      </w:r>
    </w:p>
    <w:p>
      <w:pPr>
        <w:pStyle w:val="ListParagraph"/>
        <w:numPr>
          <w:ilvl w:val="0"/>
          <w:numId w:val="5"/>
        </w:numPr>
        <w:spacing w:after="60"/>
      </w:pPr>
      <w:r>
        <w:rPr>
          <w:rFonts w:ascii="Calibri" w:cs="Calibri" w:eastAsia="Calibri" w:hAnsi="Calibri"/>
          <w:color w:val="12263A"/>
          <w:sz w:val="22"/>
          <w:szCs w:val="22"/>
        </w:rPr>
        <w:t xml:space="preserve">Incorporar la evidencia con Tomar foto, Grabar video, Elegir de la galería o Adjuntar documento. Se puede repetir las veces que haga falta.</w:t>
      </w:r>
    </w:p>
    <w:p>
      <w:pPr>
        <w:pStyle w:val="ListParagraph"/>
        <w:numPr>
          <w:ilvl w:val="0"/>
          <w:numId w:val="5"/>
        </w:numPr>
        <w:spacing w:after="60"/>
      </w:pPr>
      <w:r>
        <w:rPr>
          <w:rFonts w:ascii="Calibri" w:cs="Calibri" w:eastAsia="Calibri" w:hAnsi="Calibri"/>
          <w:color w:val="12263A"/>
          <w:sz w:val="22"/>
          <w:szCs w:val="22"/>
        </w:rPr>
        <w:t xml:space="preserve">Abrir cada archivo de la lista para asignar una categoría y, si corresponde, una nota. Las categorías son: lesiones o estado físico, lugar de los hechos, amenaza o mensaje, documento, audio u otro.</w:t>
      </w:r>
    </w:p>
    <w:p>
      <w:pPr>
        <w:pStyle w:val="ListParagraph"/>
        <w:numPr>
          <w:ilvl w:val="0"/>
          <w:numId w:val="5"/>
        </w:numPr>
        <w:spacing w:after="60"/>
      </w:pPr>
      <w:r>
        <w:rPr>
          <w:rFonts w:ascii="Calibri" w:cs="Calibri" w:eastAsia="Calibri" w:hAnsi="Calibri"/>
          <w:color w:val="12263A"/>
          <w:sz w:val="22"/>
          <w:szCs w:val="22"/>
        </w:rPr>
        <w:t xml:space="preserve">Tocar Conectar con la estación.</w:t>
      </w:r>
    </w:p>
    <w:p>
      <w:pPr>
        <w:pStyle w:val="ListParagraph"/>
        <w:numPr>
          <w:ilvl w:val="0"/>
          <w:numId w:val="5"/>
        </w:numPr>
        <w:spacing w:after="60"/>
      </w:pPr>
      <w:r>
        <w:rPr>
          <w:rFonts w:ascii="Calibri" w:cs="Calibri" w:eastAsia="Calibri" w:hAnsi="Calibri"/>
          <w:color w:val="12263A"/>
          <w:sz w:val="22"/>
          <w:szCs w:val="22"/>
        </w:rPr>
        <w:t xml:space="preserve">Si la persona quiere figurar con un nombre o unas iniciales, escribirlo. Puede quedar vacío.</w:t>
      </w:r>
    </w:p>
    <w:p>
      <w:pPr>
        <w:pStyle w:val="ListParagraph"/>
        <w:numPr>
          <w:ilvl w:val="0"/>
          <w:numId w:val="5"/>
        </w:numPr>
        <w:spacing w:after="60"/>
      </w:pPr>
      <w:r>
        <w:rPr>
          <w:rFonts w:ascii="Calibri" w:cs="Calibri" w:eastAsia="Calibri" w:hAnsi="Calibri"/>
          <w:color w:val="12263A"/>
          <w:sz w:val="22"/>
          <w:szCs w:val="22"/>
        </w:rPr>
        <w:t xml:space="preserve">Tocar Escanear código y leer el QR de la sesión. También se puede escribir a mano la dirección de la estación y el código.</w:t>
      </w:r>
    </w:p>
    <w:p>
      <w:pPr>
        <w:pStyle w:val="ListParagraph"/>
        <w:numPr>
          <w:ilvl w:val="0"/>
          <w:numId w:val="5"/>
        </w:numPr>
        <w:spacing w:after="60"/>
      </w:pPr>
      <w:r>
        <w:rPr>
          <w:rFonts w:ascii="Calibri" w:cs="Calibri" w:eastAsia="Calibri" w:hAnsi="Calibri"/>
          <w:color w:val="12263A"/>
          <w:sz w:val="22"/>
          <w:szCs w:val="22"/>
        </w:rPr>
        <w:t xml:space="preserve">Confirmar con Conectar con esta estación. La pantalla muestra la carátula y el estado Conectado.</w:t>
      </w:r>
    </w:p>
    <w:p>
      <w:pPr>
        <w:pStyle w:val="ListParagraph"/>
        <w:numPr>
          <w:ilvl w:val="0"/>
          <w:numId w:val="5"/>
        </w:numPr>
        <w:spacing w:after="60"/>
      </w:pPr>
      <w:r>
        <w:rPr>
          <w:rFonts w:ascii="Calibri" w:cs="Calibri" w:eastAsia="Calibri" w:hAnsi="Calibri"/>
          <w:color w:val="12263A"/>
          <w:sz w:val="22"/>
          <w:szCs w:val="22"/>
        </w:rPr>
        <w:t xml:space="preserve">Tocar Enviar los que faltan, o esperar a que la estación pida los archivos. Cada archivo pasa a Recibido cuando la estación lo guardó.</w:t>
      </w:r>
    </w:p>
    <w:p>
      <w:pPr>
        <w:pStyle w:val="ListParagraph"/>
        <w:numPr>
          <w:ilvl w:val="0"/>
          <w:numId w:val="5"/>
        </w:numPr>
        <w:spacing w:after="60"/>
      </w:pPr>
      <w:r>
        <w:rPr>
          <w:rFonts w:ascii="Calibri" w:cs="Calibri" w:eastAsia="Calibri" w:hAnsi="Calibri"/>
          <w:color w:val="12263A"/>
          <w:sz w:val="22"/>
          <w:szCs w:val="22"/>
        </w:rPr>
        <w:t xml:space="preserve">Al terminar, tocar Cortar conexión. Desde la estación también se puede cerrar la sesión. Después de cerrada no sale ningún archivo más.</w:t>
      </w:r>
    </w:p>
    <w:p>
      <w:pPr>
        <w:pStyle w:val="Heading2"/>
        <w:spacing w:after="80" w:before="240"/>
      </w:pPr>
      <w:r>
        <w:rPr>
          <w:rFonts w:ascii="Calibri" w:cs="Calibri" w:eastAsia="Calibri" w:hAnsi="Calibri"/>
          <w:b/>
          <w:bCs/>
          <w:color w:val="12263A"/>
          <w:sz w:val="24"/>
          <w:szCs w:val="24"/>
        </w:rPr>
        <w:t xml:space="preserve">6.3. En la estación, al recibir</w:t>
      </w:r>
    </w:p>
    <w:p>
      <w:pPr>
        <w:pStyle w:val="ListParagraph"/>
        <w:numPr>
          <w:ilvl w:val="0"/>
          <w:numId w:val="6"/>
        </w:numPr>
        <w:spacing w:after="60"/>
      </w:pPr>
      <w:r>
        <w:rPr>
          <w:rFonts w:ascii="Calibri" w:cs="Calibri" w:eastAsia="Calibri" w:hAnsi="Calibri"/>
          <w:color w:val="12263A"/>
          <w:sz w:val="22"/>
          <w:szCs w:val="22"/>
        </w:rPr>
        <w:t xml:space="preserve">En la sesión, marcar los archivos que se quieren bajar y pedir la descarga. La app también puede enviarlos sin esa marca.</w:t>
      </w:r>
    </w:p>
    <w:p>
      <w:pPr>
        <w:pStyle w:val="ListParagraph"/>
        <w:numPr>
          <w:ilvl w:val="0"/>
          <w:numId w:val="6"/>
        </w:numPr>
        <w:spacing w:after="60"/>
      </w:pPr>
      <w:r>
        <w:rPr>
          <w:rFonts w:ascii="Calibri" w:cs="Calibri" w:eastAsia="Calibri" w:hAnsi="Calibri"/>
          <w:color w:val="12263A"/>
          <w:sz w:val="22"/>
          <w:szCs w:val="22"/>
        </w:rPr>
        <w:t xml:space="preserve">Volver a la causa. Cada archivo muestra su huella SHA-256 y si coincide con la que calculó el teléfono.</w:t>
      </w:r>
    </w:p>
    <w:p>
      <w:pPr>
        <w:pStyle w:val="ListParagraph"/>
        <w:numPr>
          <w:ilvl w:val="0"/>
          <w:numId w:val="6"/>
        </w:numPr>
        <w:spacing w:after="60"/>
      </w:pPr>
      <w:r>
        <w:rPr>
          <w:rFonts w:ascii="Calibri" w:cs="Calibri" w:eastAsia="Calibri" w:hAnsi="Calibri"/>
          <w:color w:val="12263A"/>
          <w:sz w:val="22"/>
          <w:szCs w:val="22"/>
        </w:rPr>
        <w:t xml:space="preserve">Si dice que no coincide, no se usa ese archivo como recibido íntegro. Se deja constancia y, si la persona todavía está conectada, se pide un nuevo envío.</w:t>
      </w:r>
    </w:p>
    <w:p>
      <w:pPr>
        <w:pStyle w:val="Heading1"/>
        <w:spacing w:after="120" w:before="360"/>
      </w:pPr>
      <w:r>
        <w:rPr>
          <w:rFonts w:ascii="Calibri" w:cs="Calibri" w:eastAsia="Calibri" w:hAnsi="Calibri"/>
          <w:b/>
          <w:bCs/>
          <w:color w:val="1A4F8A"/>
          <w:sz w:val="28"/>
          <w:szCs w:val="28"/>
        </w:rPr>
        <w:t xml:space="preserve">7. Procedimiento por cable USB</w:t>
      </w:r>
    </w:p>
    <w:p>
      <w:pPr>
        <w:spacing w:after="120"/>
      </w:pPr>
      <w:r>
        <w:rPr>
          <w:rFonts w:ascii="Calibri" w:cs="Calibri" w:eastAsia="Calibri" w:hAnsi="Calibri"/>
          <w:color w:val="12263A"/>
          <w:sz w:val="22"/>
          <w:szCs w:val="22"/>
        </w:rPr>
        <w:t xml:space="preserve">Este camino sirve para dejar constancia de lo que se ve en la pantalla del teléfono: una conversación abierta, una publicación o cualquier otra imagen que la persona muestra. No extrae el historial oculto ni los mensajes que no están en pantalla.</w:t>
      </w:r>
    </w:p>
    <w:p>
      <w:pPr>
        <w:pStyle w:val="Heading2"/>
        <w:spacing w:after="80" w:before="240"/>
      </w:pPr>
      <w:r>
        <w:rPr>
          <w:rFonts w:ascii="Calibri" w:cs="Calibri" w:eastAsia="Calibri" w:hAnsi="Calibri"/>
          <w:b/>
          <w:bCs/>
          <w:color w:val="12263A"/>
          <w:sz w:val="24"/>
          <w:szCs w:val="24"/>
        </w:rPr>
        <w:t xml:space="preserve">7.1. Preparar el teléfono</w:t>
      </w:r>
    </w:p>
    <w:p>
      <w:pPr>
        <w:pStyle w:val="ListParagraph"/>
        <w:numPr>
          <w:ilvl w:val="0"/>
          <w:numId w:val="7"/>
        </w:numPr>
        <w:spacing w:after="60"/>
      </w:pPr>
      <w:r>
        <w:rPr>
          <w:rFonts w:ascii="Calibri" w:cs="Calibri" w:eastAsia="Calibri" w:hAnsi="Calibri"/>
          <w:color w:val="12263A"/>
          <w:sz w:val="22"/>
          <w:szCs w:val="22"/>
        </w:rPr>
        <w:t xml:space="preserve">Usar un cable de datos y un puerto USB que la computadora reconozca. Si Windows dice que el dispositivo no se reconoce, cambiar el cable o el puerto antes de seguir.</w:t>
      </w:r>
    </w:p>
    <w:p>
      <w:pPr>
        <w:pStyle w:val="ListParagraph"/>
        <w:numPr>
          <w:ilvl w:val="0"/>
          <w:numId w:val="7"/>
        </w:numPr>
        <w:spacing w:after="60"/>
      </w:pPr>
      <w:r>
        <w:rPr>
          <w:rFonts w:ascii="Calibri" w:cs="Calibri" w:eastAsia="Calibri" w:hAnsi="Calibri"/>
          <w:color w:val="12263A"/>
          <w:sz w:val="22"/>
          <w:szCs w:val="22"/>
        </w:rPr>
        <w:t xml:space="preserve">En el teléfono, activar las opciones de desarrollador. En la mayoría de los Android se entra a Ajustes, Acerca del teléfono, y se toca varias veces el número de compilación. En HyperOS el camino es Ajustes, Acerca del teléfono, Todas las especificaciones, y se toca siete veces Versión de HyperOS.</w:t>
      </w:r>
    </w:p>
    <w:p>
      <w:pPr>
        <w:pStyle w:val="ListParagraph"/>
        <w:numPr>
          <w:ilvl w:val="0"/>
          <w:numId w:val="7"/>
        </w:numPr>
        <w:spacing w:after="60"/>
      </w:pPr>
      <w:r>
        <w:rPr>
          <w:rFonts w:ascii="Calibri" w:cs="Calibri" w:eastAsia="Calibri" w:hAnsi="Calibri"/>
          <w:color w:val="12263A"/>
          <w:sz w:val="22"/>
          <w:szCs w:val="22"/>
        </w:rPr>
        <w:t xml:space="preserve">Activar Depuración USB. En Xiaomi puede hacer falta, además, Depuración USB (ajustes de seguridad).</w:t>
      </w:r>
    </w:p>
    <w:p>
      <w:pPr>
        <w:pStyle w:val="ListParagraph"/>
        <w:numPr>
          <w:ilvl w:val="0"/>
          <w:numId w:val="7"/>
        </w:numPr>
        <w:spacing w:after="60"/>
      </w:pPr>
      <w:r>
        <w:rPr>
          <w:rFonts w:ascii="Calibri" w:cs="Calibri" w:eastAsia="Calibri" w:hAnsi="Calibri"/>
          <w:color w:val="12263A"/>
          <w:sz w:val="22"/>
          <w:szCs w:val="22"/>
        </w:rPr>
        <w:t xml:space="preserve">Conectar el cable con la pantalla desbloqueada y aceptar «Permitir la depuración por USB».</w:t>
      </w:r>
    </w:p>
    <w:p>
      <w:pPr>
        <w:pStyle w:val="ListParagraph"/>
        <w:numPr>
          <w:ilvl w:val="0"/>
          <w:numId w:val="7"/>
        </w:numPr>
        <w:spacing w:after="60"/>
      </w:pPr>
      <w:r>
        <w:rPr>
          <w:rFonts w:ascii="Calibri" w:cs="Calibri" w:eastAsia="Calibri" w:hAnsi="Calibri"/>
          <w:color w:val="12263A"/>
          <w:sz w:val="22"/>
          <w:szCs w:val="22"/>
        </w:rPr>
        <w:t xml:space="preserve">Si el teléfono pregunta el uso del USB, elegir transferencia de archivos.</w:t>
      </w:r>
    </w:p>
    <w:p>
      <w:pPr>
        <w:pStyle w:val="Heading2"/>
        <w:spacing w:after="80" w:before="240"/>
      </w:pPr>
      <w:r>
        <w:rPr>
          <w:rFonts w:ascii="Calibri" w:cs="Calibri" w:eastAsia="Calibri" w:hAnsi="Calibri"/>
          <w:b/>
          <w:bCs/>
          <w:color w:val="12263A"/>
          <w:sz w:val="24"/>
          <w:szCs w:val="24"/>
        </w:rPr>
        <w:t xml:space="preserve">7.2. En la causa</w:t>
      </w:r>
    </w:p>
    <w:p>
      <w:pPr>
        <w:pStyle w:val="ListParagraph"/>
        <w:numPr>
          <w:ilvl w:val="0"/>
          <w:numId w:val="8"/>
        </w:numPr>
        <w:spacing w:after="60"/>
      </w:pPr>
      <w:r>
        <w:rPr>
          <w:rFonts w:ascii="Calibri" w:cs="Calibri" w:eastAsia="Calibri" w:hAnsi="Calibri"/>
          <w:color w:val="12263A"/>
          <w:sz w:val="22"/>
          <w:szCs w:val="22"/>
        </w:rPr>
        <w:t xml:space="preserve">En Captura por cable USB, confirmar que figura el teléfono, el fabricante, el modelo y, si el aparato lo informa, el IMEI.</w:t>
      </w:r>
    </w:p>
    <w:p>
      <w:pPr>
        <w:pStyle w:val="ListParagraph"/>
        <w:numPr>
          <w:ilvl w:val="0"/>
          <w:numId w:val="8"/>
        </w:numPr>
        <w:spacing w:after="60"/>
      </w:pPr>
      <w:r>
        <w:rPr>
          <w:rFonts w:ascii="Calibri" w:cs="Calibri" w:eastAsia="Calibri" w:hAnsi="Calibri"/>
          <w:color w:val="12263A"/>
          <w:sz w:val="22"/>
          <w:szCs w:val="22"/>
        </w:rPr>
        <w:t xml:space="preserve">Espejar pantalla abre la ventana en vivo. Sirve para ubicar lo que se va a guardar. Hay que cerrar esa ventana antes de grabar: el teléfono no puede espejar y grabar al mismo tiempo.</w:t>
      </w:r>
    </w:p>
    <w:p>
      <w:pPr>
        <w:pStyle w:val="ListParagraph"/>
        <w:numPr>
          <w:ilvl w:val="0"/>
          <w:numId w:val="8"/>
        </w:numPr>
        <w:spacing w:after="60"/>
      </w:pPr>
      <w:r>
        <w:rPr>
          <w:rFonts w:ascii="Calibri" w:cs="Calibri" w:eastAsia="Calibri" w:hAnsi="Calibri"/>
          <w:color w:val="12263A"/>
          <w:sz w:val="22"/>
          <w:szCs w:val="22"/>
        </w:rPr>
        <w:t xml:space="preserve">Capturar lo que se ve guarda una imagen PNG de la pantalla en la causa.</w:t>
      </w:r>
    </w:p>
    <w:p>
      <w:pPr>
        <w:pStyle w:val="ListParagraph"/>
        <w:numPr>
          <w:ilvl w:val="0"/>
          <w:numId w:val="8"/>
        </w:numPr>
        <w:spacing w:after="60"/>
      </w:pPr>
      <w:r>
        <w:rPr>
          <w:rFonts w:ascii="Calibri" w:cs="Calibri" w:eastAsia="Calibri" w:hAnsi="Calibri"/>
          <w:color w:val="12263A"/>
          <w:sz w:val="22"/>
          <w:szCs w:val="22"/>
        </w:rPr>
        <w:t xml:space="preserve">Grabar pantalla graba el video durante los segundos elegidos (15, 30, 60 o 120) y lo guarda en la causa. La grabación usa un tamaño compatible con el teléfono, no la resolución completa de la pantalla, porque varios equipos rechazan esa resolución.</w:t>
      </w:r>
    </w:p>
    <w:p>
      <w:pPr>
        <w:pStyle w:val="ListParagraph"/>
        <w:numPr>
          <w:ilvl w:val="0"/>
          <w:numId w:val="8"/>
        </w:numPr>
        <w:spacing w:after="60"/>
      </w:pPr>
      <w:r>
        <w:rPr>
          <w:rFonts w:ascii="Calibri" w:cs="Calibri" w:eastAsia="Calibri" w:hAnsi="Calibri"/>
          <w:color w:val="12263A"/>
          <w:sz w:val="22"/>
          <w:szCs w:val="22"/>
        </w:rPr>
        <w:t xml:space="preserve">Se puede escribir una nota de qué se está mostrando y elegir la categoría antes de capturar o grabar.</w:t>
      </w:r>
    </w:p>
    <w:p>
      <w:pPr>
        <w:shd w:fill="FDECEB" w:val="clear"/>
        <w:spacing w:after="160" w:before="120"/>
      </w:pPr>
      <w:r>
        <w:rPr>
          <w:rFonts w:ascii="Calibri" w:cs="Calibri" w:eastAsia="Calibri" w:hAnsi="Calibri"/>
          <w:b/>
          <w:bCs/>
          <w:color w:val="9B3B32"/>
          <w:sz w:val="22"/>
          <w:szCs w:val="22"/>
        </w:rPr>
        <w:t xml:space="preserve">Importante. </w:t>
      </w:r>
      <w:r>
        <w:rPr>
          <w:rFonts w:ascii="Calibri" w:cs="Calibri" w:eastAsia="Calibri" w:hAnsi="Calibri"/>
          <w:color w:val="9B3B32"/>
          <w:sz w:val="22"/>
          <w:szCs w:val="22"/>
        </w:rPr>
        <w:t xml:space="preserve">El IMEI se lee por el cable cuando el teléfono se registra en la causa, o cuando la estación completa una sesión que todavía no lo tenía. Tiene que estar conectado y con la depuración aceptada. Si solo se conecta por Wi-Fi, el IMEI puede quedar vacío.</w:t>
      </w:r>
    </w:p>
    <w:p>
      <w:pPr>
        <w:pStyle w:val="Heading1"/>
        <w:spacing w:after="120" w:before="360"/>
      </w:pPr>
      <w:r>
        <w:rPr>
          <w:rFonts w:ascii="Calibri" w:cs="Calibri" w:eastAsia="Calibri" w:hAnsi="Calibri"/>
          <w:b/>
          <w:bCs/>
          <w:color w:val="1A4F8A"/>
          <w:sz w:val="28"/>
          <w:szCs w:val="28"/>
        </w:rPr>
        <w:t xml:space="preserve">8. Cierre: paquete, huellas e informe</w:t>
      </w:r>
    </w:p>
    <w:p>
      <w:pPr>
        <w:pStyle w:val="ListParagraph"/>
        <w:numPr>
          <w:ilvl w:val="0"/>
          <w:numId w:val="9"/>
        </w:numPr>
        <w:spacing w:after="60"/>
      </w:pPr>
      <w:r>
        <w:rPr>
          <w:rFonts w:ascii="Calibri" w:cs="Calibri" w:eastAsia="Calibri" w:hAnsi="Calibri"/>
          <w:color w:val="12263A"/>
          <w:sz w:val="22"/>
          <w:szCs w:val="22"/>
        </w:rPr>
        <w:t xml:space="preserve">En la causa, tocar Armar paquete y huella.</w:t>
      </w:r>
    </w:p>
    <w:p>
      <w:pPr>
        <w:pStyle w:val="ListParagraph"/>
        <w:numPr>
          <w:ilvl w:val="0"/>
          <w:numId w:val="9"/>
        </w:numPr>
        <w:spacing w:after="60"/>
      </w:pPr>
      <w:r>
        <w:rPr>
          <w:rFonts w:ascii="Calibri" w:cs="Calibri" w:eastAsia="Calibri" w:hAnsi="Calibri"/>
          <w:color w:val="12263A"/>
          <w:sz w:val="22"/>
          <w:szCs w:val="22"/>
        </w:rPr>
        <w:t xml:space="preserve">La estación arma evidencia.zip con los archivos, el archivo manifiesto.json y el acta de recepción.</w:t>
      </w:r>
    </w:p>
    <w:p>
      <w:pPr>
        <w:pStyle w:val="ListParagraph"/>
        <w:numPr>
          <w:ilvl w:val="0"/>
          <w:numId w:val="9"/>
        </w:numPr>
        <w:spacing w:after="60"/>
      </w:pPr>
      <w:r>
        <w:rPr>
          <w:rFonts w:ascii="Calibri" w:cs="Calibri" w:eastAsia="Calibri" w:hAnsi="Calibri"/>
          <w:color w:val="12263A"/>
          <w:sz w:val="22"/>
          <w:szCs w:val="22"/>
        </w:rPr>
        <w:t xml:space="preserve">Calcula la huella SHA-256 del zip completo y la muestra en pantalla.</w:t>
      </w:r>
    </w:p>
    <w:p>
      <w:pPr>
        <w:pStyle w:val="ListParagraph"/>
        <w:numPr>
          <w:ilvl w:val="0"/>
          <w:numId w:val="9"/>
        </w:numPr>
        <w:spacing w:after="60"/>
      </w:pPr>
      <w:r>
        <w:rPr>
          <w:rFonts w:ascii="Calibri" w:cs="Calibri" w:eastAsia="Calibri" w:hAnsi="Calibri"/>
          <w:color w:val="12263A"/>
          <w:sz w:val="22"/>
          <w:szCs w:val="22"/>
        </w:rPr>
        <w:t xml:space="preserve">Descargar zip y Descargar informe PDF. El informe queda fuera del zip a propósito: si entrara en el paquete, la huella cambiaría.</w:t>
      </w:r>
    </w:p>
    <w:p>
      <w:pPr>
        <w:pStyle w:val="ListParagraph"/>
        <w:numPr>
          <w:ilvl w:val="0"/>
          <w:numId w:val="9"/>
        </w:numPr>
        <w:spacing w:after="60"/>
      </w:pPr>
      <w:r>
        <w:rPr>
          <w:rFonts w:ascii="Calibri" w:cs="Calibri" w:eastAsia="Calibri" w:hAnsi="Calibri"/>
          <w:color w:val="12263A"/>
          <w:sz w:val="22"/>
          <w:szCs w:val="22"/>
        </w:rPr>
        <w:t xml:space="preserve">Conservar juntos el zip y el PDF. El PDF trae la carátula, el expediente, la oficina, el responsable, el IMEI cuando se pudo leer, la huella de cada archivo y la huella del zip.</w:t>
      </w:r>
    </w:p>
    <w:p>
      <w:pPr>
        <w:pStyle w:val="ListParagraph"/>
        <w:numPr>
          <w:ilvl w:val="0"/>
          <w:numId w:val="9"/>
        </w:numPr>
        <w:spacing w:after="60"/>
      </w:pPr>
      <w:r>
        <w:rPr>
          <w:rFonts w:ascii="Calibri" w:cs="Calibri" w:eastAsia="Calibri" w:hAnsi="Calibri"/>
          <w:color w:val="12263A"/>
          <w:sz w:val="22"/>
          <w:szCs w:val="22"/>
        </w:rPr>
        <w:t xml:space="preserve">Dentro del zip, manifiesto.json y acta-recepcion.txt repiten la huella de cada archivo.</w:t>
      </w:r>
    </w:p>
    <w:p>
      <w:pPr>
        <w:spacing w:after="120"/>
      </w:pPr>
      <w:r>
        <w:rPr>
          <w:rFonts w:ascii="Calibri" w:cs="Calibri" w:eastAsia="Calibri" w:hAnsi="Calibri"/>
          <w:color w:val="12263A"/>
          <w:sz w:val="22"/>
          <w:szCs w:val="22"/>
        </w:rPr>
        <w:t xml:space="preserve">La huella del zip identifica el paquete entero. La huella de cada archivo identifica ese archivo. No se reemplaza una por la otra.</w:t>
      </w:r>
    </w:p>
    <w:p>
      <w:pPr>
        <w:pStyle w:val="Heading1"/>
        <w:spacing w:after="120" w:before="360"/>
      </w:pPr>
      <w:r>
        <w:rPr>
          <w:rFonts w:ascii="Calibri" w:cs="Calibri" w:eastAsia="Calibri" w:hAnsi="Calibri"/>
          <w:b/>
          <w:bCs/>
          <w:color w:val="1A4F8A"/>
          <w:sz w:val="28"/>
          <w:szCs w:val="28"/>
        </w:rPr>
        <w:t xml:space="preserve">9. Eliminar una causa</w:t>
      </w:r>
    </w:p>
    <w:p>
      <w:pPr>
        <w:spacing w:after="120"/>
      </w:pPr>
      <w:r>
        <w:rPr>
          <w:rFonts w:ascii="Calibri" w:cs="Calibri" w:eastAsia="Calibri" w:hAnsi="Calibri"/>
          <w:color w:val="12263A"/>
          <w:sz w:val="22"/>
          <w:szCs w:val="22"/>
        </w:rPr>
        <w:t xml:space="preserve">En el listado, cada tarjeta tiene un tacho de basura. Dentro de la causa también está el botón Eliminar causa. En los dos casos aparece antes esta advertencia: «Se eliminarán todos los registros de la causa y la causa.»</w:t>
      </w:r>
    </w:p>
    <w:p>
      <w:pPr>
        <w:spacing w:after="120"/>
      </w:pPr>
      <w:r>
        <w:rPr>
          <w:rFonts w:ascii="Calibri" w:cs="Calibri" w:eastAsia="Calibri" w:hAnsi="Calibri"/>
          <w:color w:val="12263A"/>
          <w:sz w:val="22"/>
          <w:szCs w:val="22"/>
        </w:rPr>
        <w:t xml:space="preserve">Cancelar no borra nada. Confirmar elimina la causa, los archivos, las sesiones y el paquete de esa computadora. No se puede deshacer.</w:t>
      </w:r>
    </w:p>
    <w:p>
      <w:pPr>
        <w:pStyle w:val="Heading1"/>
        <w:spacing w:after="120" w:before="360"/>
      </w:pPr>
      <w:r>
        <w:rPr>
          <w:rFonts w:ascii="Calibri" w:cs="Calibri" w:eastAsia="Calibri" w:hAnsi="Calibri"/>
          <w:b/>
          <w:bCs/>
          <w:color w:val="1A4F8A"/>
          <w:sz w:val="28"/>
          <w:szCs w:val="28"/>
        </w:rPr>
        <w:t xml:space="preserve">10. Dónde quedan los datos</w:t>
      </w:r>
    </w:p>
    <w:p>
      <w:pPr>
        <w:spacing w:after="120"/>
      </w:pPr>
      <w:r>
        <w:rPr>
          <w:rFonts w:ascii="Calibri" w:cs="Calibri" w:eastAsia="Calibri" w:hAnsi="Calibri"/>
          <w:color w:val="12263A"/>
          <w:sz w:val="22"/>
          <w:szCs w:val="22"/>
        </w:rPr>
        <w:t xml:space="preserve">No hay un motor de base de datos aparte. La estación guarda las causas, las sesiones y las huellas en archivos locales de la carpeta de datos de la estación, y los archivos de evidencia en carpetas de esa misma computadora. Quien se lleva la PC se lleva la evidencia. El informe y el zip exportados son la forma de entregar la diligencia.</w:t>
      </w:r>
    </w:p>
    <w:p>
      <w:pPr>
        <w:pStyle w:val="Heading1"/>
        <w:spacing w:after="120" w:before="360"/>
      </w:pPr>
      <w:r>
        <w:rPr>
          <w:rFonts w:ascii="Calibri" w:cs="Calibri" w:eastAsia="Calibri" w:hAnsi="Calibri"/>
          <w:b/>
          <w:bCs/>
          <w:color w:val="1A4F8A"/>
          <w:sz w:val="28"/>
          <w:szCs w:val="28"/>
        </w:rPr>
        <w:t xml:space="preserve">11. Problemas frecuentes</w:t>
      </w:r>
    </w:p>
    <w:p>
      <w:pPr>
        <w:pStyle w:val="Heading2"/>
        <w:spacing w:after="80" w:before="240"/>
      </w:pPr>
      <w:r>
        <w:rPr>
          <w:rFonts w:ascii="Calibri" w:cs="Calibri" w:eastAsia="Calibri" w:hAnsi="Calibri"/>
          <w:b/>
          <w:bCs/>
          <w:color w:val="12263A"/>
          <w:sz w:val="24"/>
          <w:szCs w:val="24"/>
        </w:rPr>
        <w:t xml:space="preserve">El teléfono no conecta con la estación</w:t>
      </w:r>
    </w:p>
    <w:p>
      <w:pPr>
        <w:spacing w:after="120"/>
      </w:pPr>
      <w:r>
        <w:rPr>
          <w:rFonts w:ascii="Calibri" w:cs="Calibri" w:eastAsia="Calibri" w:hAnsi="Calibri"/>
          <w:color w:val="12263A"/>
          <w:sz w:val="22"/>
          <w:szCs w:val="22"/>
        </w:rPr>
        <w:t xml:space="preserve">Revisar que los dos estén en la misma red y que, al abrir la sesión, se haya elegido esa red. El código de Expo Go no sirve para este paso. La sesión no tiene que estar vencida ni cerrada. El firewall de Windows puede pedir permiso a Node la primera vez.</w:t>
      </w:r>
    </w:p>
    <w:p>
      <w:pPr>
        <w:pStyle w:val="Heading2"/>
        <w:spacing w:after="80" w:before="240"/>
      </w:pPr>
      <w:r>
        <w:rPr>
          <w:rFonts w:ascii="Calibri" w:cs="Calibri" w:eastAsia="Calibri" w:hAnsi="Calibri"/>
          <w:b/>
          <w:bCs/>
          <w:color w:val="12263A"/>
          <w:sz w:val="24"/>
          <w:szCs w:val="24"/>
        </w:rPr>
        <w:t xml:space="preserve">No deja crear la causa</w:t>
      </w:r>
    </w:p>
    <w:p>
      <w:pPr>
        <w:spacing w:after="120"/>
      </w:pPr>
      <w:r>
        <w:rPr>
          <w:rFonts w:ascii="Calibri" w:cs="Calibri" w:eastAsia="Calibri" w:hAnsi="Calibri"/>
          <w:color w:val="12263A"/>
          <w:sz w:val="22"/>
          <w:szCs w:val="22"/>
        </w:rPr>
        <w:t xml:space="preserve">La dependencia del expediente no está entre las que SIGI habilitó para la persona que inició Windows. Hay que elegir la dependencia correcta o usar una cuenta habilitada para esa oficina.</w:t>
      </w:r>
    </w:p>
    <w:p>
      <w:pPr>
        <w:pStyle w:val="Heading2"/>
        <w:spacing w:after="80" w:before="240"/>
      </w:pPr>
      <w:r>
        <w:rPr>
          <w:rFonts w:ascii="Calibri" w:cs="Calibri" w:eastAsia="Calibri" w:hAnsi="Calibri"/>
          <w:b/>
          <w:bCs/>
          <w:color w:val="12263A"/>
          <w:sz w:val="24"/>
          <w:szCs w:val="24"/>
        </w:rPr>
        <w:t xml:space="preserve">Windows no reconoce el USB</w:t>
      </w:r>
    </w:p>
    <w:p>
      <w:pPr>
        <w:spacing w:after="120"/>
      </w:pPr>
      <w:r>
        <w:rPr>
          <w:rFonts w:ascii="Calibri" w:cs="Calibri" w:eastAsia="Calibri" w:hAnsi="Calibri"/>
          <w:color w:val="12263A"/>
          <w:sz w:val="22"/>
          <w:szCs w:val="22"/>
        </w:rPr>
        <w:t xml:space="preserve">Suele ser el cable o el puerto, no un programa que falte. Probar otro cable de datos y otro puerto, con el teléfono desbloqueado.</w:t>
      </w:r>
    </w:p>
    <w:p>
      <w:pPr>
        <w:pStyle w:val="Heading2"/>
        <w:spacing w:after="80" w:before="240"/>
      </w:pPr>
      <w:r>
        <w:rPr>
          <w:rFonts w:ascii="Calibri" w:cs="Calibri" w:eastAsia="Calibri" w:hAnsi="Calibri"/>
          <w:b/>
          <w:bCs/>
          <w:color w:val="12263A"/>
          <w:sz w:val="24"/>
          <w:szCs w:val="24"/>
        </w:rPr>
        <w:t xml:space="preserve">La grabación de pantalla falla</w:t>
      </w:r>
    </w:p>
    <w:p>
      <w:pPr>
        <w:spacing w:after="120"/>
      </w:pPr>
      <w:r>
        <w:rPr>
          <w:rFonts w:ascii="Calibri" w:cs="Calibri" w:eastAsia="Calibri" w:hAnsi="Calibri"/>
          <w:color w:val="12263A"/>
          <w:sz w:val="22"/>
          <w:szCs w:val="22"/>
        </w:rPr>
        <w:t xml:space="preserve">Cerrar el espejo de pantalla y volver a grabar. Si el teléfono estaba grabando a resolución completa, la estación ya pide un tamaño que el grabador del aparato acepta.</w:t>
      </w:r>
    </w:p>
    <w:p>
      <w:pPr>
        <w:pStyle w:val="Heading2"/>
        <w:spacing w:after="80" w:before="240"/>
      </w:pPr>
      <w:r>
        <w:rPr>
          <w:rFonts w:ascii="Calibri" w:cs="Calibri" w:eastAsia="Calibri" w:hAnsi="Calibri"/>
          <w:b/>
          <w:bCs/>
          <w:color w:val="12263A"/>
          <w:sz w:val="24"/>
          <w:szCs w:val="24"/>
        </w:rPr>
        <w:t xml:space="preserve">La huella no coincide</w:t>
      </w:r>
    </w:p>
    <w:p>
      <w:pPr>
        <w:spacing w:after="120"/>
      </w:pPr>
      <w:r>
        <w:rPr>
          <w:rFonts w:ascii="Calibri" w:cs="Calibri" w:eastAsia="Calibri" w:hAnsi="Calibri"/>
          <w:color w:val="12263A"/>
          <w:sz w:val="22"/>
          <w:szCs w:val="22"/>
        </w:rPr>
        <w:t xml:space="preserve">El archivo que llegó no es idéntico al que el teléfono declaró. No se da por recibido íntegro. Se registra el hecho y, si la sesión sigue abierta, se solicita otro envío.</w:t>
      </w:r>
    </w:p>
    <w:p>
      <w:pPr>
        <w:pStyle w:val="Heading1"/>
        <w:spacing w:after="120" w:before="360"/>
      </w:pPr>
      <w:r>
        <w:rPr>
          <w:rFonts w:ascii="Calibri" w:cs="Calibri" w:eastAsia="Calibri" w:hAnsi="Calibri"/>
          <w:b/>
          <w:bCs/>
          <w:color w:val="1A4F8A"/>
          <w:sz w:val="28"/>
          <w:szCs w:val="28"/>
        </w:rPr>
        <w:t xml:space="preserve">12. Orden recomendado de la diligencia</w:t>
      </w:r>
    </w:p>
    <w:p>
      <w:pPr>
        <w:pStyle w:val="ListParagraph"/>
        <w:numPr>
          <w:ilvl w:val="0"/>
          <w:numId w:val="10"/>
        </w:numPr>
        <w:spacing w:after="60"/>
      </w:pPr>
      <w:r>
        <w:rPr>
          <w:rFonts w:ascii="Calibri" w:cs="Calibri" w:eastAsia="Calibri" w:hAnsi="Calibri"/>
          <w:color w:val="12263A"/>
          <w:sz w:val="22"/>
          <w:szCs w:val="22"/>
        </w:rPr>
        <w:t xml:space="preserve">Abrir la estación e identificar a la persona por Active Directory y SIGI.</w:t>
      </w:r>
    </w:p>
    <w:p>
      <w:pPr>
        <w:pStyle w:val="ListParagraph"/>
        <w:numPr>
          <w:ilvl w:val="0"/>
          <w:numId w:val="10"/>
        </w:numPr>
        <w:spacing w:after="60"/>
      </w:pPr>
      <w:r>
        <w:rPr>
          <w:rFonts w:ascii="Calibri" w:cs="Calibri" w:eastAsia="Calibri" w:hAnsi="Calibri"/>
          <w:color w:val="12263A"/>
          <w:sz w:val="22"/>
          <w:szCs w:val="22"/>
        </w:rPr>
        <w:t xml:space="preserve">Elegir la dependencia de carga.</w:t>
      </w:r>
    </w:p>
    <w:p>
      <w:pPr>
        <w:pStyle w:val="ListParagraph"/>
        <w:numPr>
          <w:ilvl w:val="0"/>
          <w:numId w:val="10"/>
        </w:numPr>
        <w:spacing w:after="60"/>
      </w:pPr>
      <w:r>
        <w:rPr>
          <w:rFonts w:ascii="Calibri" w:cs="Calibri" w:eastAsia="Calibri" w:hAnsi="Calibri"/>
          <w:color w:val="12263A"/>
          <w:sz w:val="22"/>
          <w:szCs w:val="22"/>
        </w:rPr>
        <w:t xml:space="preserve">Consultar el expediente y crear la causa solo si la dependencia está habilitada.</w:t>
      </w:r>
    </w:p>
    <w:p>
      <w:pPr>
        <w:pStyle w:val="ListParagraph"/>
        <w:numPr>
          <w:ilvl w:val="0"/>
          <w:numId w:val="10"/>
        </w:numPr>
        <w:spacing w:after="60"/>
      </w:pPr>
      <w:r>
        <w:rPr>
          <w:rFonts w:ascii="Calibri" w:cs="Calibri" w:eastAsia="Calibri" w:hAnsi="Calibri"/>
          <w:color w:val="12263A"/>
          <w:sz w:val="22"/>
          <w:szCs w:val="22"/>
        </w:rPr>
        <w:t xml:space="preserve">Recibir por la app los archivos que la persona aporta, o capturar por USB lo que se muestra en la pantalla.</w:t>
      </w:r>
    </w:p>
    <w:p>
      <w:pPr>
        <w:pStyle w:val="ListParagraph"/>
        <w:numPr>
          <w:ilvl w:val="0"/>
          <w:numId w:val="10"/>
        </w:numPr>
        <w:spacing w:after="60"/>
      </w:pPr>
      <w:r>
        <w:rPr>
          <w:rFonts w:ascii="Calibri" w:cs="Calibri" w:eastAsia="Calibri" w:hAnsi="Calibri"/>
          <w:color w:val="12263A"/>
          <w:sz w:val="22"/>
          <w:szCs w:val="22"/>
        </w:rPr>
        <w:t xml:space="preserve">Verificar las huellas.</w:t>
      </w:r>
    </w:p>
    <w:p>
      <w:pPr>
        <w:pStyle w:val="ListParagraph"/>
        <w:numPr>
          <w:ilvl w:val="0"/>
          <w:numId w:val="10"/>
        </w:numPr>
        <w:spacing w:after="60"/>
      </w:pPr>
      <w:r>
        <w:rPr>
          <w:rFonts w:ascii="Calibri" w:cs="Calibri" w:eastAsia="Calibri" w:hAnsi="Calibri"/>
          <w:color w:val="12263A"/>
          <w:sz w:val="22"/>
          <w:szCs w:val="22"/>
        </w:rPr>
        <w:t xml:space="preserve">Cerrar la sesión o cortar la conexión.</w:t>
      </w:r>
    </w:p>
    <w:p>
      <w:pPr>
        <w:pStyle w:val="ListParagraph"/>
        <w:numPr>
          <w:ilvl w:val="0"/>
          <w:numId w:val="10"/>
        </w:numPr>
        <w:spacing w:after="60"/>
      </w:pPr>
      <w:r>
        <w:rPr>
          <w:rFonts w:ascii="Calibri" w:cs="Calibri" w:eastAsia="Calibri" w:hAnsi="Calibri"/>
          <w:color w:val="12263A"/>
          <w:sz w:val="22"/>
          <w:szCs w:val="22"/>
        </w:rPr>
        <w:t xml:space="preserve">Armar el paquete y conservar el zip junto con el informe PDF.</w:t>
      </w:r>
    </w:p>
    <w:sectPr>
      <w:headerReference w:type="default" r:id="rId6"/>
      <w:footerReference w:type="default" r:id="rId7"/>
      <w:pgSz w:w="11906" w:h="16838" w:orient="portrait"/>
      <w:pgMar w:top="1000" w:right="1000" w:bottom="9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6788A"/>
        <w:sz w:val="16"/>
        <w:szCs w:val="16"/>
      </w:rPr>
      <w:t xml:space="preserve">Manual de uso  ·  </w:t>
    </w:r>
    <w:r>
      <w:rPr>
        <w:rFonts w:ascii="Calibri" w:cs="Calibri" w:eastAsia="Calibri" w:hAnsi="Calibri"/>
        <w:color w:val="66788A"/>
        <w:sz w:val="16"/>
        <w:szCs w:val="16"/>
      </w:rPr>
      <w:fldChar w:fldCharType="begin"/>
      <w:instrText xml:space="preserve">PAGE</w:instrText>
      <w:fldChar w:fldCharType="separate"/>
      <w:fldChar w:fldCharType="end"/>
    </w:r>
    <w:r>
      <w:rPr>
        <w:rFonts w:ascii="Calibri" w:cs="Calibri" w:eastAsia="Calibri" w:hAnsi="Calibri"/>
        <w:color w:val="66788A"/>
        <w:sz w:val="16"/>
        <w:szCs w:val="16"/>
      </w:rPr>
      <w:t xml:space="preserve"> / </w:t>
    </w:r>
    <w:r>
      <w:rPr>
        <w:rFonts w:ascii="Calibri" w:cs="Calibri" w:eastAsia="Calibri" w:hAnsi="Calibri"/>
        <w:color w:val="66788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b/>
        <w:bCs/>
        <w:color w:val="1A4F8A"/>
        <w:sz w:val="18"/>
        <w:szCs w:val="18"/>
      </w:rPr>
      <w:t xml:space="preserve">EVIDIA  ·  Poder Judicial del Chaco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abstractNum w:abstractNumId="8" w15:restartNumberingAfterBreak="0">
    <w:multiLevelType w:val="hybridMultilevel"/>
    <w:lvl w:ilvl="0" w:tentative="1">
      <w:start w:val="1"/>
      <w:numFmt w:val="decimal"/>
      <w:lvlText w:val="%1."/>
      <w:lvlJc w:val="left"/>
      <w:pPr>
        <w:ind w:left="720" w:hanging="360"/>
      </w:pPr>
    </w:lvl>
  </w:abstractNum>
  <w:abstractNum w:abstractNumId="9" w15:restartNumberingAfterBreak="0">
    <w:multiLevelType w:val="hybridMultilevel"/>
    <w:lvl w:ilvl="0" w:tentative="1">
      <w:start w:val="1"/>
      <w:numFmt w:val="decimal"/>
      <w:lvlText w:val="%1."/>
      <w:lvlJc w:val="left"/>
      <w:pPr>
        <w:ind w:left="720" w:hanging="360"/>
      </w:pPr>
    </w:lvl>
  </w:abstractNum>
  <w:abstractNum w:abstractNumId="10"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2026-10-09T14:09:47.638Z</dcterms:created>
  <dcterms:modified xsi:type="dcterms:W3CDTF">2026-10-09T14:09:47.639Z</dcterms:modified>
</cp:coreProperties>
</file>

<file path=docProps/custom.xml><?xml version="1.0" encoding="utf-8"?>
<Properties xmlns="http://schemas.openxmlformats.org/officeDocument/2006/custom-properties" xmlns:vt="http://schemas.openxmlformats.org/officeDocument/2006/docPropsVTypes"/>
</file>