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9.png" ContentType="image/png"/>
  <Override PartName="/word/media/rId45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 de empresa y solicitud de financiación — Grupo Vesta</w:t>
      </w:r>
    </w:p>
    <w:p>
      <w:pPr>
        <w:pStyle w:val="FirstParagraph"/>
      </w:pPr>
      <w:r>
        <w:t xml:space="preserve">. Kept here + in the skeleton so the</w:t>
      </w:r>
      <w:r>
        <w:t xml:space="preserve"> </w:t>
      </w:r>
      <w:r>
        <w:t xml:space="preserve">fallback is documented and ready.</w:t>
      </w:r>
      <w:r>
        <w:t xml:space="preserve"> </w:t>
      </w:r>
      <w:r>
        <w:t xml:space="preserve">-------------------------------------------------------------------------- */</w:t>
      </w:r>
      <w:r>
        <w:t xml:space="preserve"> </w:t>
      </w:r>
      <w:r>
        <w:t xml:space="preserve">.running-foot {</w:t>
      </w:r>
      <w:r>
        <w:t xml:space="preserve"> </w:t>
      </w:r>
      <w:r>
        <w:t xml:space="preserve">display: none;</w:t>
      </w:r>
      <w:r>
        <w:t xml:space="preserve"> </w:t>
      </w:r>
      <w:r>
        <w:t xml:space="preserve">}</w:t>
      </w:r>
      <w:r>
        <w:t xml:space="preserve"> </w:t>
      </w:r>
      <w:r>
        <w:t xml:space="preserve">/* --------------------------------------------------------------------------</w:t>
      </w:r>
      <w:r>
        <w:t xml:space="preserve"> </w:t>
      </w:r>
      <w:r>
        <w:t xml:space="preserve">9. Print overrides — real pagination, colour-accurate backgrounds.</w:t>
      </w:r>
      <w:r>
        <w:t xml:space="preserve"> </w:t>
      </w:r>
      <w:r>
        <w:t xml:space="preserve">-------------------------------------------------------------------------- */</w:t>
      </w:r>
      <w:r>
        <w:t xml:space="preserve"> </w:t>
      </w:r>
      <w:r>
        <w:t xml:space="preserve">@media print {</w:t>
      </w:r>
      <w:r>
        <w:t xml:space="preserve"> </w:t>
      </w:r>
      <w:r>
        <w:t xml:space="preserve">html,</w:t>
      </w:r>
      <w:r>
        <w:t xml:space="preserve"> </w:t>
      </w:r>
      <w:r>
        <w:t xml:space="preserve">body {</w:t>
      </w:r>
      <w:r>
        <w:t xml:space="preserve"> </w:t>
      </w:r>
      <w:r>
        <w:t xml:space="preserve">background: var(--cream);</w:t>
      </w:r>
      <w:r>
        <w:t xml:space="preserve"> </w:t>
      </w:r>
      <w:r>
        <w:t xml:space="preserve">}</w:t>
      </w:r>
      <w:r>
        <w:t xml:space="preserve"> </w:t>
      </w:r>
      <w:r>
        <w:t xml:space="preserve">.report {</w:t>
      </w:r>
      <w:r>
        <w:t xml:space="preserve"> </w:t>
      </w:r>
      <w:r>
        <w:t xml:space="preserve">max-width: none;</w:t>
      </w:r>
      <w:r>
        <w:t xml:space="preserve"> </w:t>
      </w:r>
      <w:r>
        <w:t xml:space="preserve">margin: 0;</w:t>
      </w:r>
      <w:r>
        <w:t xml:space="preserve"> </w:t>
      </w:r>
      <w:r>
        <w:t xml:space="preserve">background: var(--cream);</w:t>
      </w:r>
      <w:r>
        <w:t xml:space="preserve"> </w:t>
      </w:r>
      <w:r>
        <w:t xml:space="preserve">}</w:t>
      </w:r>
      <w:r>
        <w:t xml:space="preserve"> </w:t>
      </w:r>
      <w:r>
        <w:t xml:space="preserve">/* Guarantee brand backgrounds print (Chrome strips them otherwise). */</w:t>
      </w:r>
      <w:r>
        <w:t xml:space="preserve"> </w:t>
      </w:r>
      <w:r>
        <w:t xml:space="preserve">* {</w:t>
      </w:r>
      <w:r>
        <w:t xml:space="preserve"> </w:t>
      </w:r>
      <w:r>
        <w:t xml:space="preserve">-webkit-print-color-adjust: exact;</w:t>
      </w:r>
      <w:r>
        <w:t xml:space="preserve"> </w:t>
      </w:r>
      <w:r>
        <w:t xml:space="preserve">print-color-adjust: exact;</w:t>
      </w:r>
      <w:r>
        <w:t xml:space="preserve"> </w:t>
      </w:r>
      <w:r>
        <w:t xml:space="preserve">}</w:t>
      </w:r>
      <w:r>
        <w:t xml:space="preserve"> </w:t>
      </w:r>
      <w:r>
        <w:t xml:space="preserve">.chapter {</w:t>
      </w:r>
      <w:r>
        <w:t xml:space="preserve"> </w:t>
      </w:r>
      <w:r>
        <w:t xml:space="preserve">break-before: page;</w:t>
      </w:r>
      <w:r>
        <w:t xml:space="preserve"> </w:t>
      </w:r>
      <w:r>
        <w:t xml:space="preserve">}</w:t>
      </w:r>
      <w:r>
        <w:t xml:space="preserve"> </w:t>
      </w:r>
      <w:r>
        <w:t xml:space="preserve">.figure,</w:t>
      </w:r>
      <w:r>
        <w:t xml:space="preserve"> </w:t>
      </w:r>
      <w:r>
        <w:t xml:space="preserve">.cmp-table,</w:t>
      </w:r>
      <w:r>
        <w:t xml:space="preserve"> </w:t>
      </w:r>
      <w:r>
        <w:t xml:space="preserve">svg,</w:t>
      </w:r>
      <w:r>
        <w:t xml:space="preserve"> </w:t>
      </w:r>
      <w:r>
        <w:t xml:space="preserve">.callout {</w:t>
      </w:r>
      <w:r>
        <w:t xml:space="preserve"> </w:t>
      </w:r>
      <w:r>
        <w:t xml:space="preserve">break-inside: avoid;</w:t>
      </w:r>
      <w:r>
        <w:t xml:space="preserve"> </w:t>
      </w:r>
      <w:r>
        <w:t xml:space="preserve">}</w:t>
      </w:r>
      <w:r>
        <w:t xml:space="preserve"> </w:t>
      </w:r>
      <w:r>
        <w:t xml:space="preserve">h2,</w:t>
      </w:r>
      <w:r>
        <w:t xml:space="preserve"> </w:t>
      </w:r>
      <w:r>
        <w:t xml:space="preserve">h3 {</w:t>
      </w:r>
      <w:r>
        <w:t xml:space="preserve"> </w:t>
      </w:r>
      <w:r>
        <w:t xml:space="preserve">break-after: avoid;</w:t>
      </w:r>
      <w:r>
        <w:t xml:space="preserve"> </w:t>
      </w:r>
      <w:r>
        <w:t xml:space="preserve">}</w:t>
      </w:r>
      <w:r>
        <w:t xml:space="preserve"> </w:t>
      </w:r>
      <w:r>
        <w:t xml:space="preserve">/* (b) fallback — only when opted in via `class="has-running-foot"` on body. */</w:t>
      </w:r>
      <w:r>
        <w:t xml:space="preserve"> </w:t>
      </w:r>
      <w:r>
        <w:t xml:space="preserve">body.has-running-foot .running-foot {</w:t>
      </w:r>
      <w:r>
        <w:t xml:space="preserve"> </w:t>
      </w:r>
      <w:r>
        <w:t xml:space="preserve">display: block;</w:t>
      </w:r>
      <w:r>
        <w:t xml:space="preserve"> </w:t>
      </w:r>
      <w:r>
        <w:t xml:space="preserve">position: fixed;</w:t>
      </w:r>
      <w:r>
        <w:t xml:space="preserve"> </w:t>
      </w:r>
      <w:r>
        <w:t xml:space="preserve">left: 18mm;</w:t>
      </w:r>
      <w:r>
        <w:t xml:space="preserve"> </w:t>
      </w:r>
      <w:r>
        <w:t xml:space="preserve">bottom: 8mm;</w:t>
      </w:r>
      <w:r>
        <w:t xml:space="preserve"> </w:t>
      </w:r>
      <w:r>
        <w:t xml:space="preserve">font-family: var(--font-sans);</w:t>
      </w:r>
      <w:r>
        <w:t xml:space="preserve"> </w:t>
      </w:r>
      <w:r>
        <w:t xml:space="preserve">font-size: 8pt;</w:t>
      </w:r>
      <w:r>
        <w:t xml:space="preserve"> </w:t>
      </w:r>
      <w:r>
        <w:t xml:space="preserve">letter-spacing: 0.04em;</w:t>
      </w:r>
      <w:r>
        <w:t xml:space="preserve"> </w:t>
      </w:r>
      <w:r>
        <w:t xml:space="preserve">color: var(--ink-muted);</w:t>
      </w:r>
      <w:r>
        <w:t xml:space="preserve"> </w:t>
      </w:r>
      <w:r>
        <w:t xml:space="preserve">text-align: left;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/* --------------------------------------------------------------------------</w:t>
      </w:r>
      <w:r>
        <w:t xml:space="preserve"> </w:t>
      </w:r>
      <w:r>
        <w:t xml:space="preserve">10. Accessibility / robustness</w:t>
      </w:r>
      <w:r>
        <w:t xml:space="preserve"> </w:t>
      </w:r>
      <w:r>
        <w:t xml:space="preserve">-------------------------------------------------------------------------- */</w:t>
      </w:r>
      <w:r>
        <w:t xml:space="preserve"> </w:t>
      </w:r>
      <w:r>
        <w:t xml:space="preserve">@media (prefers-reduced-motion: reduce) {</w:t>
      </w:r>
      <w:r>
        <w:t xml:space="preserve"> </w:t>
      </w:r>
      <w:r>
        <w:t xml:space="preserve">* {</w:t>
      </w:r>
      <w:r>
        <w:t xml:space="preserve"> </w:t>
      </w:r>
      <w:r>
        <w:t xml:space="preserve">animation: none !important;</w:t>
      </w:r>
      <w:r>
        <w:t xml:space="preserve"> </w:t>
      </w:r>
      <w:r>
        <w:t xml:space="preserve">transition: none !important;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</w:p>
    <w:p>
      <w:pPr>
        <w:pStyle w:val="BodyText"/>
      </w:pPr>
      <w:r>
        <w:t xml:space="preserve">Grupo Vesta · Documento interno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chart0" title="" id="10" name="Picture"/>
            <a:graphic>
              <a:graphicData uri="http://schemas.openxmlformats.org/drawingml/2006/picture">
                <pic:pic>
                  <pic:nvPicPr>
                    <pic:cNvPr descr="C:/Users/juanm/AppData/Local/Temp/claude/C--Users-juanm-Documents-dev-vesta-web/a3c1c79b-4fda-426b-aa44-228f7649c2f0/scratchpad/svgs/chart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Grupo Vesta</w:t>
      </w:r>
    </w:p>
    <w:bookmarkStart w:id="12" w:name="X9c13111bad67d94e19de11637e053959712906f"/>
    <w:p>
      <w:pPr>
        <w:pStyle w:val="Heading1"/>
      </w:pPr>
      <w:r>
        <w:t xml:space="preserve">Plan de empresa y solicitud de financiación</w:t>
      </w:r>
    </w:p>
    <w:p>
      <w:pPr>
        <w:pStyle w:val="FirstParagraph"/>
      </w:pPr>
      <w:r>
        <w:t xml:space="preserve">Servicio de limpieza profunda de tapicerías — colchones, sofás y mobiliario tapizado — Granada</w:t>
      </w:r>
    </w:p>
    <w:p>
      <w:pPr>
        <w:pStyle w:val="BodyText"/>
      </w:pPr>
    </w:p>
    <w:p>
      <w:pPr>
        <w:pStyle w:val="BodyText"/>
      </w:pPr>
      <w:r>
        <w:t xml:space="preserve">Granada, [PLACEHOLDER — fecha]</w:t>
      </w:r>
    </w:p>
    <w:bookmarkEnd w:id="12"/>
    <w:bookmarkStart w:id="6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ch-1">
        <w:r>
          <w:rPr>
            <w:rStyle w:val="Hyperlink"/>
          </w:rPr>
          <w:t xml:space="preserve">01</w:t>
        </w:r>
        <w:r>
          <w:rPr>
            <w:rStyle w:val="Hyperlink"/>
          </w:rPr>
          <w:t xml:space="preserve">Datos de la solicitud</w:t>
        </w:r>
        <w:r>
          <w:rPr>
            <w:rStyle w:val="Hyperlink"/>
          </w:rPr>
          <w:t xml:space="preserve">3</w:t>
        </w:r>
      </w:hyperlink>
    </w:p>
    <w:p>
      <w:pPr>
        <w:pStyle w:val="Compact"/>
        <w:numPr>
          <w:ilvl w:val="0"/>
          <w:numId w:val="1001"/>
        </w:numPr>
      </w:pPr>
      <w:hyperlink w:anchor="ch-2">
        <w:r>
          <w:rPr>
            <w:rStyle w:val="Hyperlink"/>
          </w:rPr>
          <w:t xml:space="preserve">02</w:t>
        </w:r>
        <w:r>
          <w:rPr>
            <w:rStyle w:val="Hyperlink"/>
          </w:rPr>
          <w:t xml:space="preserve">El promotor</w:t>
        </w:r>
        <w:r>
          <w:rPr>
            <w:rStyle w:val="Hyperlink"/>
          </w:rPr>
          <w:t xml:space="preserve">5</w:t>
        </w:r>
      </w:hyperlink>
    </w:p>
    <w:p>
      <w:pPr>
        <w:pStyle w:val="Compact"/>
        <w:numPr>
          <w:ilvl w:val="0"/>
          <w:numId w:val="1001"/>
        </w:numPr>
      </w:pPr>
      <w:hyperlink w:anchor="ch-3">
        <w:r>
          <w:rPr>
            <w:rStyle w:val="Hyperlink"/>
          </w:rPr>
          <w:t xml:space="preserve">03</w:t>
        </w:r>
        <w:r>
          <w:rPr>
            <w:rStyle w:val="Hyperlink"/>
          </w:rPr>
          <w:t xml:space="preserve">La empresa y el servicio</w:t>
        </w:r>
        <w:r>
          <w:rPr>
            <w:rStyle w:val="Hyperlink"/>
          </w:rPr>
          <w:t xml:space="preserve">7</w:t>
        </w:r>
      </w:hyperlink>
    </w:p>
    <w:p>
      <w:pPr>
        <w:pStyle w:val="Compact"/>
        <w:numPr>
          <w:ilvl w:val="0"/>
          <w:numId w:val="1001"/>
        </w:numPr>
      </w:pPr>
      <w:hyperlink w:anchor="ch-4">
        <w:r>
          <w:rPr>
            <w:rStyle w:val="Hyperlink"/>
          </w:rPr>
          <w:t xml:space="preserve">04</w:t>
        </w:r>
        <w:r>
          <w:rPr>
            <w:rStyle w:val="Hyperlink"/>
          </w:rPr>
          <w:t xml:space="preserve">El mercado — Granada</w:t>
        </w:r>
        <w:r>
          <w:rPr>
            <w:rStyle w:val="Hyperlink"/>
          </w:rPr>
          <w:t xml:space="preserve">9</w:t>
        </w:r>
      </w:hyperlink>
    </w:p>
    <w:p>
      <w:pPr>
        <w:pStyle w:val="Compact"/>
        <w:numPr>
          <w:ilvl w:val="0"/>
          <w:numId w:val="1001"/>
        </w:numPr>
      </w:pPr>
      <w:hyperlink w:anchor="ch-5">
        <w:r>
          <w:rPr>
            <w:rStyle w:val="Hyperlink"/>
          </w:rPr>
          <w:t xml:space="preserve">05</w:t>
        </w:r>
        <w:r>
          <w:rPr>
            <w:rStyle w:val="Hyperlink"/>
          </w:rPr>
          <w:t xml:space="preserve">Plan comercial</w:t>
        </w:r>
        <w:r>
          <w:rPr>
            <w:rStyle w:val="Hyperlink"/>
          </w:rPr>
          <w:t xml:space="preserve">11</w:t>
        </w:r>
      </w:hyperlink>
    </w:p>
    <w:p>
      <w:pPr>
        <w:pStyle w:val="Compact"/>
        <w:numPr>
          <w:ilvl w:val="0"/>
          <w:numId w:val="1001"/>
        </w:numPr>
      </w:pPr>
      <w:hyperlink w:anchor="ch-6">
        <w:r>
          <w:rPr>
            <w:rStyle w:val="Hyperlink"/>
          </w:rPr>
          <w:t xml:space="preserve">06</w:t>
        </w:r>
        <w:r>
          <w:rPr>
            <w:rStyle w:val="Hyperlink"/>
          </w:rPr>
          <w:t xml:space="preserve">Plan de inversión y financiación</w:t>
        </w:r>
        <w:r>
          <w:rPr>
            <w:rStyle w:val="Hyperlink"/>
          </w:rPr>
          <w:t xml:space="preserve">13</w:t>
        </w:r>
      </w:hyperlink>
    </w:p>
    <w:p>
      <w:pPr>
        <w:pStyle w:val="Compact"/>
        <w:numPr>
          <w:ilvl w:val="0"/>
          <w:numId w:val="1001"/>
        </w:numPr>
      </w:pPr>
      <w:hyperlink w:anchor="ch-7">
        <w:r>
          <w:rPr>
            <w:rStyle w:val="Hyperlink"/>
          </w:rPr>
          <w:t xml:space="preserve">07</w:t>
        </w:r>
        <w:r>
          <w:rPr>
            <w:rStyle w:val="Hyperlink"/>
          </w:rPr>
          <w:t xml:space="preserve">Previsiones</w:t>
        </w:r>
        <w:r>
          <w:rPr>
            <w:rStyle w:val="Hyperlink"/>
          </w:rPr>
          <w:t xml:space="preserve">15</w:t>
        </w:r>
      </w:hyperlink>
    </w:p>
    <w:p>
      <w:pPr>
        <w:pStyle w:val="Compact"/>
        <w:numPr>
          <w:ilvl w:val="0"/>
          <w:numId w:val="1001"/>
        </w:numPr>
      </w:pPr>
      <w:hyperlink w:anchor="ch-8">
        <w:r>
          <w:rPr>
            <w:rStyle w:val="Hyperlink"/>
          </w:rPr>
          <w:t xml:space="preserve">08</w:t>
        </w:r>
        <w:r>
          <w:rPr>
            <w:rStyle w:val="Hyperlink"/>
          </w:rPr>
          <w:t xml:space="preserve">Capacidad de devolución</w:t>
        </w:r>
        <w:r>
          <w:rPr>
            <w:rStyle w:val="Hyperlink"/>
          </w:rPr>
          <w:t xml:space="preserve">20</w:t>
        </w:r>
      </w:hyperlink>
    </w:p>
    <w:p>
      <w:pPr>
        <w:pStyle w:val="Compact"/>
        <w:numPr>
          <w:ilvl w:val="0"/>
          <w:numId w:val="1001"/>
        </w:numPr>
      </w:pPr>
      <w:hyperlink w:anchor="ch-9">
        <w:r>
          <w:rPr>
            <w:rStyle w:val="Hyperlink"/>
          </w:rPr>
          <w:t xml:space="preserve">09</w:t>
        </w:r>
        <w:r>
          <w:rPr>
            <w:rStyle w:val="Hyperlink"/>
          </w:rPr>
          <w:t xml:space="preserve">Riesgos y mitigaciones</w:t>
        </w:r>
        <w:r>
          <w:rPr>
            <w:rStyle w:val="Hyperlink"/>
          </w:rPr>
          <w:t xml:space="preserve">22</w:t>
        </w:r>
      </w:hyperlink>
    </w:p>
    <w:p>
      <w:pPr>
        <w:pStyle w:val="Compact"/>
        <w:numPr>
          <w:ilvl w:val="0"/>
          <w:numId w:val="1001"/>
        </w:numPr>
      </w:pPr>
      <w:hyperlink w:anchor="ch-10">
        <w:r>
          <w:rPr>
            <w:rStyle w:val="Hyperlink"/>
          </w:rPr>
          <w:t xml:space="preserve">10</w:t>
        </w:r>
        <w:r>
          <w:rPr>
            <w:rStyle w:val="Hyperlink"/>
          </w:rPr>
          <w:t xml:space="preserve">Anexos</w:t>
        </w:r>
        <w:r>
          <w:rPr>
            <w:rStyle w:val="Hyperlink"/>
          </w:rPr>
          <w:t xml:space="preserve">24</w:t>
        </w:r>
      </w:hyperlink>
    </w:p>
    <w:bookmarkStart w:id="14" w:name="ch-1"/>
    <w:p>
      <w:pPr>
        <w:pStyle w:val="FirstParagraph"/>
      </w:pPr>
      <w:r>
        <w:t xml:space="preserve">01</w:t>
      </w:r>
    </w:p>
    <w:p>
      <w:pPr>
        <w:pStyle w:val="BodyText"/>
      </w:pPr>
      <w:r>
        <w:t xml:space="preserve">Solicitud</w:t>
      </w:r>
    </w:p>
    <w:bookmarkStart w:id="13" w:name="datos-de-la-solicitud"/>
    <w:p>
      <w:pPr>
        <w:pStyle w:val="Heading2"/>
      </w:pPr>
      <w:r>
        <w:t xml:space="preserve">Datos de la solicitud</w:t>
      </w:r>
    </w:p>
    <w:bookmarkEnd w:id="13"/>
    <w:p>
      <w:pPr>
        <w:pStyle w:val="FirstParagraph"/>
      </w:pPr>
      <w:r>
        <w:t xml:space="preserve">Grupo Vesta solicita un crédito de</w:t>
      </w:r>
      <w:r>
        <w:t xml:space="preserve"> </w:t>
      </w:r>
      <w:r>
        <w:rPr>
          <w:b/>
          <w:bCs/>
        </w:rPr>
        <w:t xml:space="preserve">6.500 €</w:t>
      </w:r>
      <w:r>
        <w:t xml:space="preserve"> </w:t>
      </w:r>
      <w:r>
        <w:t xml:space="preserve">para financiar el</w:t>
      </w:r>
      <w:r>
        <w:t xml:space="preserve"> </w:t>
      </w:r>
      <w:r>
        <w:t xml:space="preserve">arranque comercial de un servicio de limpieza profunda de tapicerías</w:t>
      </w:r>
      <w:r>
        <w:t xml:space="preserve"> </w:t>
      </w:r>
      <w:r>
        <w:t xml:space="preserve">(colchones, sofás y mobiliario tapizado) a domicilio en Granada capital y su</w:t>
      </w:r>
      <w:r>
        <w:t xml:space="preserve"> </w:t>
      </w:r>
      <w:r>
        <w:t xml:space="preserve">cinturón metropolitano. El negocio parte con sus activos productivos ya</w:t>
      </w:r>
      <w:r>
        <w:t xml:space="preserve"> </w:t>
      </w:r>
      <w:r>
        <w:t xml:space="preserve">adquiridos y pagados: el crédito no financia equipo, sino la puesta en marcha</w:t>
      </w:r>
      <w:r>
        <w:t xml:space="preserve"> </w:t>
      </w:r>
      <w:r>
        <w:t xml:space="preserve">comercial y el colchón de tesorería de los primeros meses.</w:t>
      </w:r>
    </w:p>
    <w:p>
      <w:pPr>
        <w:pStyle w:val="TableCaption"/>
      </w:pPr>
      <w:r>
        <w:t xml:space="preserve">Tabla 1. Resumen de la solicitud.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a 1. Resumen de la solicitud.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Importe solicitado</w:t>
            </w:r>
          </w:p>
        </w:tc>
        <w:tc>
          <w:tcPr/>
          <w:p>
            <w:pPr>
              <w:pStyle w:val="Compact"/>
            </w:pPr>
            <w:r>
              <w:t xml:space="preserve">6.500 €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Publicidad de lanzamiento, circulante inicial y fondo de maniobra (detalle cap.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Plazos presentados</w:t>
            </w:r>
          </w:p>
        </w:tc>
        <w:tc>
          <w:tcPr/>
          <w:p>
            <w:pPr>
              <w:pStyle w:val="Compact"/>
            </w:pPr>
            <w:r>
              <w:t xml:space="preserve">36 meses y 60 meses — a elección de la entidad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TAE ilustrativa</w:t>
            </w:r>
          </w:p>
        </w:tc>
        <w:tc>
          <w:tcPr/>
          <w:p>
            <w:pPr>
              <w:pStyle w:val="Compact"/>
            </w:pPr>
            <w:r>
              <w:t xml:space="preserve">8% (ilustrativa, sujeta a oferta de la entidad)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Cuota 36 meses</w:t>
            </w:r>
          </w:p>
        </w:tc>
        <w:tc>
          <w:tcPr/>
          <w:p>
            <w:pPr>
              <w:pStyle w:val="Compact"/>
            </w:pPr>
            <w:r>
              <w:t xml:space="preserve">203,69 €/mes (intereses totales ≈833 €)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Cuota 60 meses</w:t>
            </w:r>
          </w:p>
        </w:tc>
        <w:tc>
          <w:tcPr/>
          <w:p>
            <w:pPr>
              <w:pStyle w:val="Compact"/>
            </w:pPr>
            <w:r>
              <w:t xml:space="preserve">131,80 €/mes (intereses totales ≈1.408 €)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Solicitante</w:t>
            </w:r>
          </w:p>
        </w:tc>
        <w:tc>
          <w:tcPr/>
          <w:p>
            <w:pPr>
              <w:pStyle w:val="Compact"/>
            </w:pPr>
            <w:r>
              <w:t xml:space="preserve">[PLACEHOLDER — nombre y apellidos], autónomo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Aportación propia ya realizada (en especie)</w:t>
            </w:r>
          </w:p>
        </w:tc>
        <w:tc>
          <w:tcPr/>
          <w:p>
            <w:pPr>
              <w:pStyle w:val="Compact"/>
            </w:pPr>
            <w:r>
              <w:t xml:space="preserve">6.300 €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Inversión total del plan</w:t>
            </w:r>
          </w:p>
        </w:tc>
        <w:tc>
          <w:tcPr/>
          <w:p>
            <w:pPr>
              <w:pStyle w:val="Compact"/>
            </w:pPr>
            <w:r>
              <w:t xml:space="preserve">12.800 € (≈49% fondos propios)</w:t>
            </w:r>
          </w:p>
        </w:tc>
      </w:tr>
    </w:tbl>
    <w:p>
      <w:pPr>
        <w:pStyle w:val="BodyText"/>
      </w:pPr>
      <w:r>
        <w:t xml:space="preserve">El plan de inversión completo asciende a 12.800 €: 6.300 € ya aportados por el</w:t>
      </w:r>
      <w:r>
        <w:t xml:space="preserve"> </w:t>
      </w:r>
      <w:r>
        <w:t xml:space="preserve">socio fundador en equipo y vehículo de trabajo (pagados, capítulo 6), y 6.500 €</w:t>
      </w:r>
      <w:r>
        <w:t xml:space="preserve"> </w:t>
      </w:r>
      <w:r>
        <w:t xml:space="preserve">objeto de esta solicitud. La capacidad de devolución se sustenta en un modelo de</w:t>
      </w:r>
      <w:r>
        <w:t xml:space="preserve"> </w:t>
      </w:r>
      <w:r>
        <w:t xml:space="preserve">tesorería mensual detallado en los capítulos 7 y 8: en el escenario más adverso</w:t>
      </w:r>
      <w:r>
        <w:t xml:space="preserve"> </w:t>
      </w:r>
      <w:r>
        <w:t xml:space="preserve">modelado, el propio crédito cubre con holgura el servicio de la deuda mientras el</w:t>
      </w:r>
      <w:r>
        <w:t xml:space="preserve"> </w:t>
      </w:r>
      <w:r>
        <w:t xml:space="preserve">negocio alcanza cobertura orgánica de la cuota.</w:t>
      </w:r>
    </w:p>
    <w:p>
      <w:pPr>
        <w:pStyle w:val="BodyText"/>
      </w:pPr>
      <w:r>
        <w:t xml:space="preserve">Lectura para el analista</w:t>
      </w:r>
    </w:p>
    <w:p>
      <w:pPr>
        <w:pStyle w:val="BodyText"/>
      </w:pPr>
      <w:r>
        <w:t xml:space="preserve">Este documento presenta ambos plazos (36 y 60 meses) sin decantarse por uno: la</w:t>
      </w:r>
      <w:r>
        <w:t xml:space="preserve"> </w:t>
      </w:r>
      <w:r>
        <w:t xml:space="preserve">elección de plazo queda abierta a la entidad. Todas las cifras económicas de</w:t>
      </w:r>
      <w:r>
        <w:t xml:space="preserve"> </w:t>
      </w:r>
      <w:r>
        <w:t xml:space="preserve">los capítulos 7 y 8 se muestran para los dos plazos donde aplica.</w:t>
      </w:r>
    </w:p>
    <w:bookmarkEnd w:id="14"/>
    <w:bookmarkStart w:id="17" w:name="ch-2"/>
    <w:p>
      <w:pPr>
        <w:pStyle w:val="BodyText"/>
      </w:pPr>
      <w:r>
        <w:t xml:space="preserve">02</w:t>
      </w:r>
    </w:p>
    <w:p>
      <w:pPr>
        <w:pStyle w:val="BodyText"/>
      </w:pPr>
      <w:r>
        <w:t xml:space="preserve">Promotor</w:t>
      </w:r>
    </w:p>
    <w:bookmarkStart w:id="15" w:name="el-promotor"/>
    <w:p>
      <w:pPr>
        <w:pStyle w:val="Heading2"/>
      </w:pPr>
      <w:r>
        <w:t xml:space="preserve">El promotor</w:t>
      </w:r>
    </w:p>
    <w:bookmarkEnd w:id="15"/>
    <w:p>
      <w:pPr>
        <w:pStyle w:val="FirstParagraph"/>
      </w:pPr>
      <w:r>
        <w:t xml:space="preserve">El proyecto lo impulsa el socio fundador de Grupo Vesta, con más de</w:t>
      </w:r>
      <w:r>
        <w:t xml:space="preserve"> </w:t>
      </w:r>
      <w:r>
        <w:rPr>
          <w:b/>
          <w:bCs/>
        </w:rPr>
        <w:t xml:space="preserve">26 años de experiencia en el sector</w:t>
      </w:r>
      <w:r>
        <w:t xml:space="preserve"> </w:t>
      </w:r>
      <w:r>
        <w:t xml:space="preserve">de la limpieza y el</w:t>
      </w:r>
      <w:r>
        <w:t xml:space="preserve"> </w:t>
      </w:r>
      <w:r>
        <w:t xml:space="preserve">mantenimiento de tapicerías, que asume en solitario la operación técnica y la</w:t>
      </w:r>
      <w:r>
        <w:t xml:space="preserve"> </w:t>
      </w:r>
      <w:r>
        <w:t xml:space="preserve">gestión del negocio en su fase de arranque.</w:t>
      </w:r>
    </w:p>
    <w:p>
      <w:pPr>
        <w:pStyle w:val="BodyText"/>
      </w:pPr>
      <w:r>
        <w:t xml:space="preserve">Esa trayectoria es el activo central de la solicitud: el método de trabajo, el</w:t>
      </w:r>
      <w:r>
        <w:t xml:space="preserve"> </w:t>
      </w:r>
      <w:r>
        <w:t xml:space="preserve">criterio sobre cada tipo de tejido y suciedad, y la relación ya construida con el</w:t>
      </w:r>
      <w:r>
        <w:t xml:space="preserve"> </w:t>
      </w:r>
      <w:r>
        <w:t xml:space="preserve">proveedor de maquinaria (Hyla) proceden de más de dos décadas de oficio, no de un</w:t>
      </w:r>
      <w:r>
        <w:t xml:space="preserve"> </w:t>
      </w:r>
      <w:r>
        <w:t xml:space="preserve">plan de negocio recién diseñado. El socio fundador opera en solitario a fecha de</w:t>
      </w:r>
      <w:r>
        <w:t xml:space="preserve"> </w:t>
      </w:r>
      <w:r>
        <w:t xml:space="preserve">esta solicitud — limpia y gestiona — sin personal a cargo; la incorporación de un</w:t>
      </w:r>
      <w:r>
        <w:t xml:space="preserve"> </w:t>
      </w:r>
      <w:r>
        <w:t xml:space="preserve">segundo operario es un hito de crecimiento (capítulo 7), no una necesidad de</w:t>
      </w:r>
      <w:r>
        <w:t xml:space="preserve"> </w:t>
      </w:r>
      <w:r>
        <w:t xml:space="preserve">arranque.</w:t>
      </w:r>
    </w:p>
    <w:bookmarkStart w:id="16" w:name="datos-del-solicitante"/>
    <w:p>
      <w:pPr>
        <w:pStyle w:val="Heading3"/>
      </w:pPr>
      <w:r>
        <w:t xml:space="preserve">Datos del solicitante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Nombre y apellidos</w:t>
            </w:r>
          </w:p>
        </w:tc>
        <w:tc>
          <w:tcPr/>
          <w:p>
            <w:pPr>
              <w:pStyle w:val="Compact"/>
            </w:pPr>
            <w:r>
              <w:t xml:space="preserve">[PLACEHOLDER — nombre y apellidos]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DNI / NIE</w:t>
            </w:r>
          </w:p>
        </w:tc>
        <w:tc>
          <w:tcPr/>
          <w:p>
            <w:pPr>
              <w:pStyle w:val="Compact"/>
            </w:pPr>
            <w:r>
              <w:t xml:space="preserve">[PLACEHOLDER — DNI/NIE]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alta como autónomo</w:t>
            </w:r>
          </w:p>
        </w:tc>
        <w:tc>
          <w:tcPr/>
          <w:p>
            <w:pPr>
              <w:pStyle w:val="Compact"/>
            </w:pPr>
            <w:r>
              <w:t xml:space="preserve">[PLACEHOLDER — fecha alta autónomo]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Domicilio</w:t>
            </w:r>
          </w:p>
        </w:tc>
        <w:tc>
          <w:tcPr/>
          <w:p>
            <w:pPr>
              <w:pStyle w:val="Compact"/>
            </w:pPr>
            <w:r>
              <w:t xml:space="preserve">[PLACEHOLDER — domicilio]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 bancaria de la solicitud</w:t>
            </w:r>
          </w:p>
        </w:tc>
        <w:tc>
          <w:tcPr/>
          <w:p>
            <w:pPr>
              <w:pStyle w:val="Compact"/>
            </w:pPr>
            <w:r>
              <w:t xml:space="preserve">[PLACEHOLDER — entidad bancaria]</w:t>
            </w:r>
          </w:p>
        </w:tc>
      </w:tr>
    </w:tbl>
    <w:p>
      <w:pPr>
        <w:pStyle w:val="BodyText"/>
      </w:pPr>
      <w:r>
        <w:t xml:space="preserve">El alta de autónomo ya está tramitada; el proyecto está operativamente listo</w:t>
      </w:r>
      <w:r>
        <w:t xml:space="preserve"> </w:t>
      </w:r>
      <w:r>
        <w:t xml:space="preserve">para facturar desde la concesión del crédito, sin periodo de montaje previo.</w:t>
      </w:r>
    </w:p>
    <w:bookmarkEnd w:id="16"/>
    <w:bookmarkEnd w:id="17"/>
    <w:bookmarkStart w:id="22" w:name="ch-3"/>
    <w:p>
      <w:pPr>
        <w:pStyle w:val="BodyText"/>
      </w:pPr>
      <w:r>
        <w:t xml:space="preserve">03</w:t>
      </w:r>
    </w:p>
    <w:p>
      <w:pPr>
        <w:pStyle w:val="BodyText"/>
      </w:pPr>
      <w:r>
        <w:t xml:space="preserve">La empresa</w:t>
      </w:r>
    </w:p>
    <w:bookmarkStart w:id="18" w:name="la-empresa-y-el-servicio"/>
    <w:p>
      <w:pPr>
        <w:pStyle w:val="Heading2"/>
      </w:pPr>
      <w:r>
        <w:t xml:space="preserve">La empresa y el servicio</w:t>
      </w:r>
    </w:p>
    <w:bookmarkEnd w:id="18"/>
    <w:p>
      <w:pPr>
        <w:pStyle w:val="FirstParagraph"/>
      </w:pPr>
      <w:r>
        <w:t xml:space="preserve">Grupo Vesta presta limpieza profunda de tapicerías a domicilio — colchones,</w:t>
      </w:r>
      <w:r>
        <w:t xml:space="preserve"> </w:t>
      </w:r>
      <w:r>
        <w:t xml:space="preserve">sofás y mobiliario tapizado — dirigida a hogares con especial sensibilidad a</w:t>
      </w:r>
      <w:r>
        <w:t xml:space="preserve"> </w:t>
      </w:r>
      <w:r>
        <w:t xml:space="preserve">ácaros y alérgenos domésticos. El catálogo de lanzamiento se ha definido de forma</w:t>
      </w:r>
      <w:r>
        <w:t xml:space="preserve"> </w:t>
      </w:r>
      <w:r>
        <w:t xml:space="preserve">deliberadamente acotada: solo lo que la maquinaria ya disponible cubre bien.</w:t>
      </w:r>
    </w:p>
    <w:bookmarkStart w:id="19" w:name="catálogo-de-lanzamiento"/>
    <w:p>
      <w:pPr>
        <w:pStyle w:val="Heading3"/>
      </w:pPr>
      <w:r>
        <w:t xml:space="preserve">Catálogo de lanzamiento</w:t>
      </w:r>
    </w:p>
    <w:p>
      <w:pPr>
        <w:pStyle w:val="FirstParagraph"/>
      </w:pPr>
      <w:r>
        <w:t xml:space="preserve">Colchones (individual, matrimonio, king), sofás y sillones, y mobiliario</w:t>
      </w:r>
      <w:r>
        <w:t xml:space="preserve"> </w:t>
      </w:r>
      <w:r>
        <w:t xml:space="preserve">tapizado en general. Quedan fuera del lanzamiento las alfombras (menor margen,</w:t>
      </w:r>
      <w:r>
        <w:t xml:space="preserve"> </w:t>
      </w:r>
      <w:r>
        <w:t xml:space="preserve">piezas de manejo complejo) y la limpieza de interiores de vehículo. El B2B</w:t>
      </w:r>
      <w:r>
        <w:t xml:space="preserve"> </w:t>
      </w:r>
      <w:r>
        <w:t xml:space="preserve">(hoteles, alquiler turístico, empresas) se contempla como línea futura sujeta a</w:t>
      </w:r>
      <w:r>
        <w:t xml:space="preserve"> </w:t>
      </w:r>
      <w:r>
        <w:t xml:space="preserve">validación de viabilidad, no como ingreso de arranque.</w:t>
      </w:r>
    </w:p>
    <w:bookmarkEnd w:id="19"/>
    <w:bookmarkStart w:id="20" w:name="operación"/>
    <w:p>
      <w:pPr>
        <w:pStyle w:val="Heading3"/>
      </w:pPr>
      <w:r>
        <w:t xml:space="preserve">Operación</w:t>
      </w:r>
    </w:p>
    <w:p>
      <w:pPr>
        <w:pStyle w:val="FirstParagraph"/>
      </w:pPr>
      <w:r>
        <w:t xml:space="preserve">El servicio se presta en el domicilio del cliente mediante un método de</w:t>
      </w:r>
      <w:r>
        <w:t xml:space="preserve"> </w:t>
      </w:r>
      <w:r>
        <w:t xml:space="preserve">extracción profunda con equipo Hyla; el secado es natural y a cargo del</w:t>
      </w:r>
      <w:r>
        <w:t xml:space="preserve"> </w:t>
      </w:r>
      <w:r>
        <w:t xml:space="preserve">ambiente — el operario no permanece en el domicilio a la espera, por lo que el</w:t>
      </w:r>
      <w:r>
        <w:t xml:space="preserve"> </w:t>
      </w:r>
      <w:r>
        <w:t xml:space="preserve">secado no limita la capacidad diaria, solo la experiencia percibida del cliente.</w:t>
      </w:r>
      <w:r>
        <w:t xml:space="preserve"> </w:t>
      </w:r>
      <w:r>
        <w:t xml:space="preserve">Un operario cubre en torno a</w:t>
      </w:r>
      <w:r>
        <w:t xml:space="preserve"> </w:t>
      </w:r>
      <w:r>
        <w:rPr>
          <w:b/>
          <w:bCs/>
        </w:rPr>
        <w:t xml:space="preserve">4 servicios/día</w:t>
      </w:r>
      <w:r>
        <w:t xml:space="preserve"> </w:t>
      </w:r>
      <w:r>
        <w:t xml:space="preserve">(22 días</w:t>
      </w:r>
      <w:r>
        <w:t xml:space="preserve"> </w:t>
      </w:r>
      <w:r>
        <w:t xml:space="preserve">laborables/mes), lo que fija una capacidad de referencia de</w:t>
      </w:r>
      <w:r>
        <w:t xml:space="preserve"> </w:t>
      </w:r>
      <w:r>
        <w:rPr>
          <w:b/>
          <w:bCs/>
        </w:rPr>
        <w:t xml:space="preserve">88 piezas/mes</w:t>
      </w:r>
      <w:r>
        <w:t xml:space="preserve"> </w:t>
      </w:r>
      <w:r>
        <w:t xml:space="preserve">con un único operario — el techo frente al que se</w:t>
      </w:r>
      <w:r>
        <w:t xml:space="preserve"> </w:t>
      </w:r>
      <w:r>
        <w:t xml:space="preserve">contrastan todos los escenarios del capítulo 7.</w:t>
      </w:r>
    </w:p>
    <w:bookmarkEnd w:id="20"/>
    <w:bookmarkStart w:id="21" w:name="X4f8f549aa11e40ed557fbbbf912c78521f132c9"/>
    <w:p>
      <w:pPr>
        <w:pStyle w:val="Heading3"/>
      </w:pPr>
      <w:r>
        <w:t xml:space="preserve">La web como activo comercial ya construido</w:t>
      </w:r>
    </w:p>
    <w:p>
      <w:pPr>
        <w:pStyle w:val="FirstParagraph"/>
      </w:pPr>
      <w:r>
        <w:t xml:space="preserve">Grupo Vesta cuenta con una web propia ya operativa, orientada a conversión desde</w:t>
      </w:r>
      <w:r>
        <w:t xml:space="preserve"> </w:t>
      </w:r>
      <w:r>
        <w:t xml:space="preserve">tráfico de pago (Google Ads), con foco en un público de 45–65 años. La web no es</w:t>
      </w:r>
      <w:r>
        <w:t xml:space="preserve"> </w:t>
      </w:r>
      <w:r>
        <w:t xml:space="preserve">un gasto pendiente de esta solicitud: es infraestructura comercial ya construida</w:t>
      </w:r>
      <w:r>
        <w:t xml:space="preserve"> </w:t>
      </w:r>
      <w:r>
        <w:t xml:space="preserve">que el crédito activa mediante inversión publicitaria (capítulo 5), no que crea</w:t>
      </w:r>
      <w:r>
        <w:t xml:space="preserve"> </w:t>
      </w:r>
      <w:r>
        <w:t xml:space="preserve">desde cero.</w:t>
      </w:r>
    </w:p>
    <w:bookmarkEnd w:id="21"/>
    <w:bookmarkEnd w:id="22"/>
    <w:bookmarkStart w:id="26" w:name="ch-4"/>
    <w:p>
      <w:pPr>
        <w:pStyle w:val="BodyText"/>
      </w:pPr>
      <w:r>
        <w:t xml:space="preserve">04</w:t>
      </w:r>
    </w:p>
    <w:p>
      <w:pPr>
        <w:pStyle w:val="BodyText"/>
      </w:pPr>
      <w:r>
        <w:t xml:space="preserve">Mercado</w:t>
      </w:r>
    </w:p>
    <w:bookmarkStart w:id="23" w:name="el-mercado-granada"/>
    <w:p>
      <w:pPr>
        <w:pStyle w:val="Heading2"/>
      </w:pPr>
      <w:r>
        <w:t xml:space="preserve">El mercado — Granada</w:t>
      </w:r>
    </w:p>
    <w:bookmarkEnd w:id="23"/>
    <w:p>
      <w:pPr>
        <w:pStyle w:val="FirstParagraph"/>
      </w:pPr>
      <w:r>
        <w:t xml:space="preserve">El negocio opera en Granada capital y, de forma progresiva, en su cinturón</w:t>
      </w:r>
      <w:r>
        <w:t xml:space="preserve"> </w:t>
      </w:r>
      <w:r>
        <w:t xml:space="preserve">metropolitano — una plaza de tamaño medio, con una demanda potencial sólida y una</w:t>
      </w:r>
      <w:r>
        <w:t xml:space="preserve"> </w:t>
      </w:r>
      <w:r>
        <w:t xml:space="preserve">competencia visible menos profesionalizada que en mercados de referencia como</w:t>
      </w:r>
      <w:r>
        <w:t xml:space="preserve"> </w:t>
      </w:r>
      <w:r>
        <w:t xml:space="preserve">Madrid o Valencia.</w:t>
      </w:r>
    </w:p>
    <w:bookmarkStart w:id="24" w:name="tamaño-de-mercado"/>
    <w:p>
      <w:pPr>
        <w:pStyle w:val="Heading3"/>
      </w:pPr>
      <w:r>
        <w:t xml:space="preserve">Tamaño de mercado</w:t>
      </w:r>
    </w:p>
    <w:p>
      <w:pPr>
        <w:pStyle w:val="TableCaption"/>
      </w:pPr>
      <w:r>
        <w:t xml:space="preserve">Tabla 2. Población y hogares en el radio de servicio.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2. Población y hogares en el radio de servici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Ámbito</w:t>
            </w:r>
          </w:p>
        </w:tc>
        <w:tc>
          <w:tcPr/>
          <w:p>
            <w:pPr>
              <w:pStyle w:val="Compact"/>
            </w:pPr>
            <w:r>
              <w:t xml:space="preserve">Población</w:t>
            </w:r>
          </w:p>
        </w:tc>
        <w:tc>
          <w:tcPr/>
          <w:p>
            <w:pPr>
              <w:pStyle w:val="Compact"/>
            </w:pPr>
            <w:r>
              <w:t xml:space="preserve">Hogares (est.)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Granada capital</w:t>
            </w:r>
          </w:p>
        </w:tc>
        <w:tc>
          <w:tcPr/>
          <w:p>
            <w:pPr>
              <w:pStyle w:val="Compact"/>
            </w:pPr>
            <w:r>
              <w:t xml:space="preserve">≈234.000</w:t>
            </w:r>
          </w:p>
        </w:tc>
        <w:tc>
          <w:tcPr/>
          <w:p>
            <w:pPr>
              <w:pStyle w:val="Compact"/>
            </w:pPr>
            <w:r>
              <w:t xml:space="preserve">≈97.000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+ cinturón metropolitano (32 municipios)</w:t>
            </w:r>
          </w:p>
        </w:tc>
        <w:tc>
          <w:tcPr/>
          <w:p>
            <w:pPr>
              <w:pStyle w:val="Compact"/>
            </w:pPr>
            <w:r>
              <w:t xml:space="preserve">≈559.000</w:t>
            </w:r>
          </w:p>
        </w:tc>
        <w:tc>
          <w:tcPr/>
          <w:p>
            <w:pPr>
              <w:pStyle w:val="Compact"/>
            </w:pPr>
            <w:r>
              <w:t xml:space="preserve">≈233.000</w:t>
            </w:r>
          </w:p>
        </w:tc>
      </w:tr>
    </w:tbl>
    <w:p>
      <w:pPr>
        <w:pStyle w:val="BodyText"/>
      </w:pPr>
      <w:r>
        <w:t xml:space="preserve">Fuente: INE Padrón, vía Ahora Granada (1-ene-2025); hogares estimados dividiendo</w:t>
      </w:r>
      <w:r>
        <w:t xml:space="preserve"> </w:t>
      </w:r>
      <w:r>
        <w:t xml:space="preserve">población entre un tamaño medio de hogar de 2,4 personas.</w:t>
      </w:r>
    </w:p>
    <w:p>
      <w:pPr>
        <w:pStyle w:val="BodyText"/>
      </w:pPr>
      <w:r>
        <w:t xml:space="preserve">La renta neta media por hogar en Granada es de</w:t>
      </w:r>
      <w:r>
        <w:t xml:space="preserve"> </w:t>
      </w:r>
      <w:r>
        <w:rPr>
          <w:b/>
          <w:bCs/>
        </w:rPr>
        <w:t xml:space="preserve">36.821 €</w:t>
      </w:r>
      <w:r>
        <w:t xml:space="preserve"> </w:t>
      </w:r>
      <w:r>
        <w:t xml:space="preserve">(INE,</w:t>
      </w:r>
      <w:r>
        <w:t xml:space="preserve"> </w:t>
      </w:r>
      <w:r>
        <w:t xml:space="preserve">Atlas de Distribución de Renta de los Hogares 2023) — en línea con la media</w:t>
      </w:r>
      <w:r>
        <w:t xml:space="preserve"> </w:t>
      </w:r>
      <w:r>
        <w:t xml:space="preserve">nacional y por debajo de plazas como Valencia o Madrid, lo que sitúa a Granada</w:t>
      </w:r>
      <w:r>
        <w:t xml:space="preserve"> </w:t>
      </w:r>
      <w:r>
        <w:t xml:space="preserve">como un mercado de poder adquisitivo algo más ajustado que las grandes capitales,</w:t>
      </w:r>
      <w:r>
        <w:t xml:space="preserve"> </w:t>
      </w:r>
      <w:r>
        <w:t xml:space="preserve">coherente con una estrategia de precio que se adapta ligeramente a la baja</w:t>
      </w:r>
      <w:r>
        <w:t xml:space="preserve"> </w:t>
      </w:r>
      <w:r>
        <w:t xml:space="preserve">respecto a esas plazas (capítulo 5).</w:t>
      </w:r>
    </w:p>
    <w:bookmarkEnd w:id="24"/>
    <w:bookmarkStart w:id="25" w:name="competencia"/>
    <w:p>
      <w:pPr>
        <w:pStyle w:val="Heading3"/>
      </w:pPr>
      <w:r>
        <w:t xml:space="preserve">Competencia</w:t>
      </w:r>
    </w:p>
    <w:p>
      <w:pPr>
        <w:pStyle w:val="FirstParagraph"/>
      </w:pPr>
      <w:r>
        <w:t xml:space="preserve">El barrido de mercado localizó</w:t>
      </w:r>
      <w:r>
        <w:t xml:space="preserve"> </w:t>
      </w:r>
      <w:r>
        <w:rPr>
          <w:b/>
          <w:bCs/>
        </w:rPr>
        <w:t xml:space="preserve">7 competidores visibles</w:t>
      </w:r>
      <w:r>
        <w:t xml:space="preserve"> </w:t>
      </w:r>
      <w:r>
        <w:t xml:space="preserve">en</w:t>
      </w:r>
      <w:r>
        <w:t xml:space="preserve"> </w:t>
      </w:r>
      <w:r>
        <w:t xml:space="preserve">Granada, de los cuales solo</w:t>
      </w:r>
      <w:r>
        <w:t xml:space="preserve"> </w:t>
      </w:r>
      <w:r>
        <w:rPr>
          <w:b/>
          <w:bCs/>
        </w:rPr>
        <w:t xml:space="preserve">2 publican precio de forma directa</w:t>
      </w:r>
      <w:r>
        <w:t xml:space="preserve"> </w:t>
      </w:r>
      <w:r>
        <w:t xml:space="preserve">(Clean-Home y Happy Clean); ninguno muestra certificación de laboratorio ni una</w:t>
      </w:r>
      <w:r>
        <w:t xml:space="preserve"> </w:t>
      </w:r>
      <w:r>
        <w:t xml:space="preserve">página B2B propia. Es un campo competitivo más reducido y menos profesionalizado</w:t>
      </w:r>
      <w:r>
        <w:t xml:space="preserve"> </w:t>
      </w:r>
      <w:r>
        <w:t xml:space="preserve">que el observado en otras plazas de referencia, lo que deja espacio para un</w:t>
      </w:r>
      <w:r>
        <w:t xml:space="preserve"> </w:t>
      </w:r>
      <w:r>
        <w:t xml:space="preserve">posicionamiento de transparencia de precio y calidad verificable.</w:t>
      </w:r>
    </w:p>
    <w:p>
      <w:pPr>
        <w:pStyle w:val="TableCaption"/>
      </w:pPr>
      <w:r>
        <w:t xml:space="preserve">Tabla 3. Precios locales de referencia (Granada).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3. Precios locales de referencia (Granada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Precio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Sofá 3 plazas</w:t>
            </w:r>
          </w:p>
        </w:tc>
        <w:tc>
          <w:tcPr/>
          <w:p>
            <w:pPr>
              <w:pStyle w:val="Compact"/>
            </w:pPr>
            <w:r>
              <w:t xml:space="preserve">Clean-Home</w:t>
            </w:r>
          </w:p>
        </w:tc>
        <w:tc>
          <w:tcPr/>
          <w:p>
            <w:pPr>
              <w:pStyle w:val="Compact"/>
            </w:pPr>
            <w:r>
              <w:t xml:space="preserve">85 €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Sofá 2 plazas</w:t>
            </w:r>
          </w:p>
        </w:tc>
        <w:tc>
          <w:tcPr/>
          <w:p>
            <w:pPr>
              <w:pStyle w:val="Compact"/>
            </w:pPr>
            <w:r>
              <w:t xml:space="preserve">Clean-Home</w:t>
            </w:r>
          </w:p>
        </w:tc>
        <w:tc>
          <w:tcPr/>
          <w:p>
            <w:pPr>
              <w:pStyle w:val="Compact"/>
            </w:pPr>
            <w:r>
              <w:t xml:space="preserve">79 €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Colchón (desde)</w:t>
            </w:r>
          </w:p>
        </w:tc>
        <w:tc>
          <w:tcPr/>
          <w:p>
            <w:pPr>
              <w:pStyle w:val="Compact"/>
            </w:pPr>
            <w:r>
              <w:t xml:space="preserve">Happy Clean</w:t>
            </w:r>
          </w:p>
        </w:tc>
        <w:tc>
          <w:tcPr/>
          <w:p>
            <w:pPr>
              <w:pStyle w:val="Compact"/>
            </w:pPr>
            <w:r>
              <w:t xml:space="preserve">45 €</w:t>
            </w:r>
          </w:p>
        </w:tc>
      </w:tr>
    </w:tbl>
    <w:p>
      <w:pPr>
        <w:pStyle w:val="BodyText"/>
      </w:pPr>
      <w:r>
        <w:t xml:space="preserve">Idea clave</w:t>
      </w:r>
    </w:p>
    <w:p>
      <w:pPr>
        <w:pStyle w:val="BodyText"/>
      </w:pPr>
      <w:r>
        <w:t xml:space="preserve">Grupo Vesta fija su precio medio de referencia en Granada en 66,70 € IVA</w:t>
      </w:r>
      <w:r>
        <w:t xml:space="preserve"> </w:t>
      </w:r>
      <w:r>
        <w:t xml:space="preserve">incluido por pieza (capítulo 6), coherente con este mapa de precios locales y</w:t>
      </w:r>
      <w:r>
        <w:t xml:space="preserve"> </w:t>
      </w:r>
      <w:r>
        <w:t xml:space="preserve">con la renta de la plaza — ni el más caro ni una guerra de precios.</w:t>
      </w:r>
    </w:p>
    <w:bookmarkEnd w:id="25"/>
    <w:bookmarkEnd w:id="26"/>
    <w:bookmarkStart w:id="31" w:name="ch-5"/>
    <w:p>
      <w:pPr>
        <w:pStyle w:val="BodyText"/>
      </w:pPr>
      <w:r>
        <w:t xml:space="preserve">05</w:t>
      </w:r>
    </w:p>
    <w:p>
      <w:pPr>
        <w:pStyle w:val="BodyText"/>
      </w:pPr>
      <w:r>
        <w:t xml:space="preserve">Comercial</w:t>
      </w:r>
    </w:p>
    <w:bookmarkStart w:id="27" w:name="plan-comercial"/>
    <w:p>
      <w:pPr>
        <w:pStyle w:val="Heading2"/>
      </w:pPr>
      <w:r>
        <w:t xml:space="preserve">Plan comercial</w:t>
      </w:r>
    </w:p>
    <w:bookmarkEnd w:id="27"/>
    <w:p>
      <w:pPr>
        <w:pStyle w:val="FirstParagraph"/>
      </w:pPr>
      <w:r>
        <w:t xml:space="preserve">El canal principal de captación es</w:t>
      </w:r>
      <w:r>
        <w:t xml:space="preserve"> </w:t>
      </w:r>
      <w:r>
        <w:rPr>
          <w:b/>
          <w:bCs/>
        </w:rPr>
        <w:t xml:space="preserve">Google Ads</w:t>
      </w:r>
      <w:r>
        <w:t xml:space="preserve">, dirigido a un</w:t>
      </w:r>
      <w:r>
        <w:t xml:space="preserve"> </w:t>
      </w:r>
      <w:r>
        <w:t xml:space="preserve">público de 45–65 años que busca resolver un problema concreto — ácaros, alergias,</w:t>
      </w:r>
      <w:r>
        <w:t xml:space="preserve"> </w:t>
      </w:r>
      <w:r>
        <w:t xml:space="preserve">higiene del hogar — y que llega a una web ya preparada para convertir ese tráfico</w:t>
      </w:r>
      <w:r>
        <w:t xml:space="preserve"> </w:t>
      </w:r>
      <w:r>
        <w:t xml:space="preserve">en solicitudes de servicio.</w:t>
      </w:r>
    </w:p>
    <w:bookmarkStart w:id="28" w:name="estrategia-de-precio"/>
    <w:p>
      <w:pPr>
        <w:pStyle w:val="Heading3"/>
      </w:pPr>
      <w:r>
        <w:t xml:space="preserve">Estrategia de precio</w:t>
      </w:r>
    </w:p>
    <w:p>
      <w:pPr>
        <w:pStyle w:val="FirstParagraph"/>
      </w:pPr>
      <w:r>
        <w:t xml:space="preserve">Grupo Vesta adopta una arquitectura de</w:t>
      </w:r>
      <w:r>
        <w:t xml:space="preserve"> </w:t>
      </w:r>
      <w:r>
        <w:rPr>
          <w:b/>
          <w:bCs/>
        </w:rPr>
        <w:t xml:space="preserve">precio ajustado al mercado con</w:t>
      </w:r>
      <w:r>
        <w:rPr>
          <w:b/>
          <w:bCs/>
        </w:rPr>
        <w:t xml:space="preserve"> </w:t>
      </w:r>
      <w:r>
        <w:rPr>
          <w:b/>
          <w:bCs/>
        </w:rPr>
        <w:t xml:space="preserve">presentación premium</w:t>
      </w:r>
      <w:r>
        <w:t xml:space="preserve"> </w:t>
      </w:r>
      <w:r>
        <w:t xml:space="preserve">("match + premium"): el precio se sitúa en la</w:t>
      </w:r>
      <w:r>
        <w:t xml:space="preserve"> </w:t>
      </w:r>
      <w:r>
        <w:t xml:space="preserve">banda de mercado local, sin descuento agresivo, apoyado en una marca y una web</w:t>
      </w:r>
      <w:r>
        <w:t xml:space="preserve"> </w:t>
      </w:r>
      <w:r>
        <w:t xml:space="preserve">más cuidadas que las de la competencia visible en Granada, que en su mayoría no</w:t>
      </w:r>
      <w:r>
        <w:t xml:space="preserve"> </w:t>
      </w:r>
      <w:r>
        <w:t xml:space="preserve">publica precio ni certificaciones. Esta arquitectura protege el margen y evita</w:t>
      </w:r>
      <w:r>
        <w:t xml:space="preserve"> </w:t>
      </w:r>
      <w:r>
        <w:t xml:space="preserve">competir por precio contra la alternativa real de bajo coste — el spray</w:t>
      </w:r>
      <w:r>
        <w:t xml:space="preserve"> </w:t>
      </w:r>
      <w:r>
        <w:t xml:space="preserve">doméstico —, apostando por la confianza y la transparencia como diferenciador.</w:t>
      </w:r>
    </w:p>
    <w:bookmarkEnd w:id="28"/>
    <w:bookmarkStart w:id="29" w:name="X04ea41d0afb39e2ba5490e7491fffa76d79f8c1"/>
    <w:p>
      <w:pPr>
        <w:pStyle w:val="Heading3"/>
      </w:pPr>
      <w:r>
        <w:t xml:space="preserve">El presupuesto de lanzamiento (3.000 €, año 1)</w:t>
      </w:r>
    </w:p>
    <w:p>
      <w:pPr>
        <w:pStyle w:val="FirstParagraph"/>
      </w:pPr>
      <w:r>
        <w:t xml:space="preserve">De los 6.500 € solicitados, 3.000 € se destinan a publicidad de lanzamiento en</w:t>
      </w:r>
      <w:r>
        <w:t xml:space="preserve"> </w:t>
      </w:r>
      <w:r>
        <w:t xml:space="preserve">Google Ads durante el primer año (capítulo 6). Con un coste por clic estimado en</w:t>
      </w:r>
      <w:r>
        <w:t xml:space="preserve"> </w:t>
      </w:r>
      <w:r>
        <w:t xml:space="preserve">la banda nacional central (≈1,5–2,0 €/clic, sin dato específico de Granada — ver</w:t>
      </w:r>
      <w:r>
        <w:t xml:space="preserve"> </w:t>
      </w:r>
      <w:r>
        <w:t xml:space="preserve">anexo de hipótesis, capítulo 10) y una conversión prudente, ese presupuesto</w:t>
      </w:r>
      <w:r>
        <w:t xml:space="preserve"> </w:t>
      </w:r>
      <w:r>
        <w:t xml:space="preserve">sostiene el ritmo de captación de piezas/mes que alimenta los escenarios de</w:t>
      </w:r>
      <w:r>
        <w:t xml:space="preserve"> </w:t>
      </w:r>
      <w:r>
        <w:t xml:space="preserve">previsión del capítulo 7, especialmente la rampa de los primeros seis meses,</w:t>
      </w:r>
      <w:r>
        <w:t xml:space="preserve"> </w:t>
      </w:r>
      <w:r>
        <w:t xml:space="preserve">antes de que el boca-oreja y la repetición de cliente empiecen a aportar.</w:t>
      </w:r>
    </w:p>
    <w:bookmarkEnd w:id="29"/>
    <w:bookmarkStart w:id="30" w:name="zona-de-operación"/>
    <w:p>
      <w:pPr>
        <w:pStyle w:val="Heading3"/>
      </w:pPr>
      <w:r>
        <w:t xml:space="preserve">Zona de operación</w:t>
      </w:r>
    </w:p>
    <w:p>
      <w:pPr>
        <w:pStyle w:val="FirstParagraph"/>
      </w:pPr>
      <w:r>
        <w:t xml:space="preserve">El operario cubre en primera fase Granada capital, con expansión progresiva al</w:t>
      </w:r>
      <w:r>
        <w:t xml:space="preserve"> </w:t>
      </w:r>
      <w:r>
        <w:t xml:space="preserve">cinturón metropolitano (Armilla, Maracena, Atarfe, La Zubia, Albolote y</w:t>
      </w:r>
      <w:r>
        <w:t xml:space="preserve"> </w:t>
      </w:r>
      <w:r>
        <w:t xml:space="preserve">municipios próximos) conforme lo permita la agenda diaria — un radio compacto,</w:t>
      </w:r>
      <w:r>
        <w:t xml:space="preserve"> </w:t>
      </w:r>
      <w:r>
        <w:t xml:space="preserve">de desplazamientos cortos, sin la dispersión geográfica de mercados más grandes.</w:t>
      </w:r>
    </w:p>
    <w:bookmarkEnd w:id="30"/>
    <w:bookmarkEnd w:id="31"/>
    <w:bookmarkStart w:id="36" w:name="ch-6"/>
    <w:p>
      <w:pPr>
        <w:pStyle w:val="BodyText"/>
      </w:pPr>
      <w:r>
        <w:t xml:space="preserve">06</w:t>
      </w:r>
    </w:p>
    <w:p>
      <w:pPr>
        <w:pStyle w:val="BodyText"/>
      </w:pPr>
      <w:r>
        <w:t xml:space="preserve">Financiación</w:t>
      </w:r>
    </w:p>
    <w:bookmarkStart w:id="32" w:name="plan-de-inversión-y-financiación"/>
    <w:p>
      <w:pPr>
        <w:pStyle w:val="Heading2"/>
      </w:pPr>
      <w:r>
        <w:t xml:space="preserve">Plan de inversión y financiación</w:t>
      </w:r>
    </w:p>
    <w:bookmarkEnd w:id="32"/>
    <w:p>
      <w:pPr>
        <w:pStyle w:val="FirstParagraph"/>
      </w:pPr>
      <w:r>
        <w:t xml:space="preserve">El plan de inversión total asciende a</w:t>
      </w:r>
      <w:r>
        <w:t xml:space="preserve"> </w:t>
      </w:r>
      <w:r>
        <w:rPr>
          <w:b/>
          <w:bCs/>
        </w:rPr>
        <w:t xml:space="preserve">12.800 €</w:t>
      </w:r>
      <w:r>
        <w:t xml:space="preserve">. De ellos, 6.300</w:t>
      </w:r>
      <w:r>
        <w:t xml:space="preserve"> </w:t>
      </w:r>
      <w:r>
        <w:t xml:space="preserve">€ (≈49%) ya están aportados por el socio fundador, en especie y pagados con</w:t>
      </w:r>
      <w:r>
        <w:t xml:space="preserve"> </w:t>
      </w:r>
      <w:r>
        <w:t xml:space="preserve">anterioridad a esta solicitud; los 6.500 € restantes son el objeto del crédito.</w:t>
      </w:r>
    </w:p>
    <w:bookmarkStart w:id="33" w:name="destino-del-crédito-solicitado-6.500"/>
    <w:p>
      <w:pPr>
        <w:pStyle w:val="Heading3"/>
      </w:pPr>
      <w:r>
        <w:t xml:space="preserve">Destino del crédito solicitado (6.500 €)</w:t>
      </w:r>
    </w:p>
    <w:p>
      <w:pPr>
        <w:pStyle w:val="TableCaption"/>
      </w:pPr>
      <w:r>
        <w:t xml:space="preserve">Tabla 4. Partidas financiadas por el crédito.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4. Partidas financiadas por el crédito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Partida</w:t>
            </w:r>
          </w:p>
        </w:tc>
        <w:tc>
          <w:tcPr/>
          <w:p>
            <w:pPr>
              <w:pStyle w:val="Compact"/>
            </w:pPr>
            <w:r>
              <w:t xml:space="preserve">Importe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Publicidad de lanzamiento (Google Ads, año 1)</w:t>
            </w:r>
          </w:p>
        </w:tc>
        <w:tc>
          <w:tcPr/>
          <w:p>
            <w:pPr>
              <w:pStyle w:val="Compact"/>
            </w:pPr>
            <w:r>
              <w:t xml:space="preserve">3.000 €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Circulante inicial (cuota autónomo, gestor, seguros, RC)</w:t>
            </w:r>
          </w:p>
        </w:tc>
        <w:tc>
          <w:tcPr/>
          <w:p>
            <w:pPr>
              <w:pStyle w:val="Compact"/>
            </w:pPr>
            <w:r>
              <w:t xml:space="preserve">2.000 €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Fondo de maniobra — cobertura de mes adverso</w:t>
            </w:r>
          </w:p>
        </w:tc>
        <w:tc>
          <w:tcPr/>
          <w:p>
            <w:pPr>
              <w:pStyle w:val="Compact"/>
            </w:pPr>
            <w:r>
              <w:t xml:space="preserve">1.500 €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6.500 €</w:t>
            </w:r>
          </w:p>
        </w:tc>
      </w:tr>
    </w:tbl>
    <w:bookmarkEnd w:id="33"/>
    <w:bookmarkStart w:id="34" w:name="Xa344991a6578ad89bed00b5a96c5fdb7dce7b5f"/>
    <w:p>
      <w:pPr>
        <w:pStyle w:val="Heading3"/>
      </w:pPr>
      <w:r>
        <w:t xml:space="preserve">Aportación propia ya realizada (6.300 €, en especie, pagada)</w:t>
      </w:r>
    </w:p>
    <w:p>
      <w:pPr>
        <w:pStyle w:val="TableCaption"/>
      </w:pPr>
      <w:r>
        <w:t xml:space="preserve">Tabla 5. Activos productivos ya adquiridos por el socio fundador.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5. Activos productivos ya adquiridos por el socio fundador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Partida</w:t>
            </w:r>
          </w:p>
        </w:tc>
        <w:tc>
          <w:tcPr/>
          <w:p>
            <w:pPr>
              <w:pStyle w:val="Compact"/>
            </w:pPr>
            <w:r>
              <w:t xml:space="preserve">Importe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Hyla completo (pagado)</w:t>
            </w:r>
          </w:p>
        </w:tc>
        <w:tc>
          <w:tcPr/>
          <w:p>
            <w:pPr>
              <w:pStyle w:val="Compact"/>
            </w:pPr>
            <w:r>
              <w:t xml:space="preserve">2.300 €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Vehículo de trabajo aportado por el socio fundador (pagado)</w:t>
            </w:r>
          </w:p>
        </w:tc>
        <w:tc>
          <w:tcPr/>
          <w:p>
            <w:pPr>
              <w:pStyle w:val="Compact"/>
            </w:pPr>
            <w:r>
              <w:t xml:space="preserve">4.000 €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6.300 €</w:t>
            </w:r>
          </w:p>
        </w:tc>
      </w:tr>
    </w:tbl>
    <w:p>
      <w:pPr>
        <w:pStyle w:val="BodyText"/>
      </w:pPr>
      <w:r>
        <w:t xml:space="preserve">Idea clave</w:t>
      </w:r>
    </w:p>
    <w:p>
      <w:pPr>
        <w:pStyle w:val="BodyText"/>
      </w:pPr>
      <w:r>
        <w:t xml:space="preserve">El crédito no financia ningún activo productivo: la maquinaria y el vehículo ya</w:t>
      </w:r>
      <w:r>
        <w:t xml:space="preserve"> </w:t>
      </w:r>
      <w:r>
        <w:t xml:space="preserve">están comprados y pagados. Los 6.500 € solicitados financian exclusivamente la</w:t>
      </w:r>
      <w:r>
        <w:t xml:space="preserve"> </w:t>
      </w:r>
      <w:r>
        <w:t xml:space="preserve">puesta en marcha comercial (publicidad, circulante y colgón de tesorería) de un</w:t>
      </w:r>
      <w:r>
        <w:t xml:space="preserve"> </w:t>
      </w:r>
      <w:r>
        <w:t xml:space="preserve">negocio que ya puede facturar desde el primer día. No se contempla la compra de</w:t>
      </w:r>
      <w:r>
        <w:t xml:space="preserve"> </w:t>
      </w:r>
      <w:r>
        <w:t xml:space="preserve">vehículo ni de una segunda máquina en este plan.</w:t>
      </w:r>
    </w:p>
    <w:bookmarkEnd w:id="34"/>
    <w:bookmarkStart w:id="35" w:name="condiciones-del-crédito"/>
    <w:p>
      <w:pPr>
        <w:pStyle w:val="Heading3"/>
      </w:pPr>
      <w:r>
        <w:t xml:space="preserve">Condiciones del crédito</w:t>
      </w:r>
    </w:p>
    <w:p>
      <w:pPr>
        <w:pStyle w:val="TableCaption"/>
      </w:pPr>
      <w:r>
        <w:t xml:space="preserve">Tabla 6. Cuota mensual estimada por plazo (TAE ilustrativa 8%, sujeta a oferta de la entidad).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6. Cuota mensual estimada por plazo (TAE ilustrativa 8%, sujeta a oferta de la entidad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Plazo</w:t>
            </w:r>
          </w:p>
        </w:tc>
        <w:tc>
          <w:tcPr/>
          <w:p>
            <w:pPr>
              <w:pStyle w:val="Compact"/>
            </w:pPr>
            <w:r>
              <w:t xml:space="preserve">Cuota mensual</w:t>
            </w:r>
          </w:p>
        </w:tc>
        <w:tc>
          <w:tcPr/>
          <w:p>
            <w:pPr>
              <w:pStyle w:val="Compact"/>
            </w:pPr>
            <w:r>
              <w:t xml:space="preserve">Intereses totales (est.)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 meses</w:t>
            </w:r>
          </w:p>
        </w:tc>
        <w:tc>
          <w:tcPr/>
          <w:p>
            <w:pPr>
              <w:pStyle w:val="Compact"/>
            </w:pPr>
            <w:r>
              <w:t xml:space="preserve">203,69 €</w:t>
            </w:r>
          </w:p>
        </w:tc>
        <w:tc>
          <w:tcPr/>
          <w:p>
            <w:pPr>
              <w:pStyle w:val="Compact"/>
            </w:pPr>
            <w:r>
              <w:t xml:space="preserve">≈833 €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meses</w:t>
            </w:r>
          </w:p>
        </w:tc>
        <w:tc>
          <w:tcPr/>
          <w:p>
            <w:pPr>
              <w:pStyle w:val="Compact"/>
            </w:pPr>
            <w:r>
              <w:t xml:space="preserve">131,80 €</w:t>
            </w:r>
          </w:p>
        </w:tc>
        <w:tc>
          <w:tcPr/>
          <w:p>
            <w:pPr>
              <w:pStyle w:val="Compact"/>
            </w:pPr>
            <w:r>
              <w:t xml:space="preserve">≈1.408 €</w:t>
            </w:r>
          </w:p>
        </w:tc>
      </w:tr>
    </w:tbl>
    <w:bookmarkEnd w:id="35"/>
    <w:bookmarkEnd w:id="36"/>
    <w:bookmarkStart w:id="50" w:name="ch-7"/>
    <w:p>
      <w:pPr>
        <w:pStyle w:val="BodyText"/>
      </w:pPr>
      <w:r>
        <w:t xml:space="preserve">07</w:t>
      </w:r>
    </w:p>
    <w:p>
      <w:pPr>
        <w:pStyle w:val="BodyText"/>
      </w:pPr>
      <w:r>
        <w:t xml:space="preserve">Previsiones</w:t>
      </w:r>
    </w:p>
    <w:bookmarkStart w:id="37" w:name="previsiones"/>
    <w:p>
      <w:pPr>
        <w:pStyle w:val="Heading2"/>
      </w:pPr>
      <w:r>
        <w:t xml:space="preserve">Previsiones</w:t>
      </w:r>
    </w:p>
    <w:bookmarkEnd w:id="37"/>
    <w:p>
      <w:pPr>
        <w:pStyle w:val="FirstParagraph"/>
      </w:pPr>
      <w:r>
        <w:t xml:space="preserve">Las previsiones se construyen sobre un precio medio por pieza ajustado a Granada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66,70 € IVA incluido</w:t>
      </w:r>
      <w:r>
        <w:t xml:space="preserve"> </w:t>
      </w:r>
      <w:r>
        <w:t xml:space="preserve">(72,50 € del mercado de referencia</w:t>
      </w:r>
      <w:r>
        <w:t xml:space="preserve"> </w:t>
      </w:r>
      <w:r>
        <w:t xml:space="preserve">Madrid/Valencia, corregido a la baja ≈8% por la brecha de renta y de precio local</w:t>
      </w:r>
      <w:r>
        <w:t xml:space="preserve"> </w:t>
      </w:r>
      <w:r>
        <w:t xml:space="preserve">observada en el capítulo 4), y sobre una estructura de costes fija y variable</w:t>
      </w:r>
      <w:r>
        <w:t xml:space="preserve"> </w:t>
      </w:r>
      <w:r>
        <w:t xml:space="preserve">derivada del modelo económico del negocio.</w:t>
      </w:r>
    </w:p>
    <w:bookmarkStart w:id="38" w:name="estructura-de-costes"/>
    <w:p>
      <w:pPr>
        <w:pStyle w:val="Heading3"/>
      </w:pPr>
      <w:r>
        <w:t xml:space="preserve">Estructura de costes</w:t>
      </w:r>
    </w:p>
    <w:p>
      <w:pPr>
        <w:pStyle w:val="TableCaption"/>
      </w:pPr>
      <w:r>
        <w:t xml:space="preserve">Tabla 7. Costes fijos y variables.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a 7. Costes fijos y variables.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Costes fijos, año 1</w:t>
            </w:r>
          </w:p>
        </w:tc>
        <w:tc>
          <w:tcPr/>
          <w:p>
            <w:pPr>
              <w:pStyle w:val="Compact"/>
            </w:pPr>
            <w:r>
              <w:t xml:space="preserve">186 €/mes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Costes fijos, año 2 en adelante</w:t>
            </w:r>
          </w:p>
        </w:tc>
        <w:tc>
          <w:tcPr/>
          <w:p>
            <w:pPr>
              <w:pStyle w:val="Compact"/>
            </w:pPr>
            <w:r>
              <w:t xml:space="preserve">356 €/mes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Coste variable — consumibles</w:t>
            </w:r>
          </w:p>
        </w:tc>
        <w:tc>
          <w:tcPr/>
          <w:p>
            <w:pPr>
              <w:pStyle w:val="Compact"/>
            </w:pPr>
            <w:r>
              <w:t xml:space="preserve">1,5 €/pieza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Coste variable — desplazamiento</w:t>
            </w:r>
          </w:p>
        </w:tc>
        <w:tc>
          <w:tcPr/>
          <w:p>
            <w:pPr>
              <w:pStyle w:val="Compact"/>
            </w:pPr>
            <w:r>
              <w:t xml:space="preserve">3,5 €/visita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Contribución neta por pieza</w:t>
            </w:r>
          </w:p>
        </w:tc>
        <w:tc>
          <w:tcPr/>
          <w:p>
            <w:pPr>
              <w:pStyle w:val="Compact"/>
            </w:pPr>
            <w:r>
              <w:t xml:space="preserve">≈51,68 €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máxima (1 operario)</w:t>
            </w:r>
          </w:p>
        </w:tc>
        <w:tc>
          <w:tcPr/>
          <w:p>
            <w:pPr>
              <w:pStyle w:val="Compact"/>
            </w:pPr>
            <w:r>
              <w:t xml:space="preserve">88 piezas/mes</w:t>
            </w:r>
          </w:p>
        </w:tc>
      </w:tr>
    </w:tbl>
    <w:p>
      <w:pPr>
        <w:pStyle w:val="BodyText"/>
      </w:pPr>
      <w:r>
        <w:t xml:space="preserve">Los costes fijos de año 1 incluyen cuota de autónomo en tarifa plana (80 €),</w:t>
      </w:r>
      <w:r>
        <w:t xml:space="preserve"> </w:t>
      </w:r>
      <w:r>
        <w:t xml:space="preserve">gestor (30 €), seguro de vehículo (50 €), responsabilidad civil (25 €) y web (1</w:t>
      </w:r>
      <w:r>
        <w:t xml:space="preserve"> </w:t>
      </w:r>
      <w:r>
        <w:t xml:space="preserve">€); desde año 2 la cuota de autónomo pasa a régimen general (250 €), elevando el</w:t>
      </w:r>
      <w:r>
        <w:t xml:space="preserve"> </w:t>
      </w:r>
      <w:r>
        <w:t xml:space="preserve">fijo a 356 €/mes.</w:t>
      </w:r>
    </w:p>
    <w:bookmarkEnd w:id="38"/>
    <w:bookmarkStart w:id="42" w:name="punto-de-equilibrio"/>
    <w:p>
      <w:pPr>
        <w:pStyle w:val="Heading3"/>
      </w:pPr>
      <w:r>
        <w:t xml:space="preserve">Punto de equilibrio</w:t>
      </w:r>
    </w:p>
    <w:p>
      <w:pPr>
        <w:pStyle w:val="CaptionedFigure"/>
      </w:pPr>
      <w:r>
        <w:drawing>
          <wp:inline>
            <wp:extent cx="5334000" cy="2933700"/>
            <wp:effectExtent b="0" l="0" r="0" t="0"/>
            <wp:docPr descr="chart1" title="" id="40" name="Picture"/>
            <a:graphic>
              <a:graphicData uri="http://schemas.openxmlformats.org/drawingml/2006/picture">
                <pic:pic>
                  <pic:nvPicPr>
                    <pic:cNvPr descr="C:/Users/juanm/AppData/Local/Temp/claude/C--Users-juanm-Documents-dev-vesta-web/a3c1c79b-4fda-426b-aa44-228f7649c2f0/scratchpad/svgs/chart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Punto de equilibrio: 3,6 piezas/mes cubren solo la estructura fija;</w:t>
      </w:r>
      <w:r>
        <w:t xml:space="preserve"> </w:t>
      </w:r>
      <w:r>
        <w:t xml:space="preserve">12,9 piezas/mes cubren estructura, publicidad (350 €/mes) y la cuota del</w:t>
      </w:r>
      <w:r>
        <w:t xml:space="preserve"> </w:t>
      </w:r>
      <w:r>
        <w:t xml:space="preserve">crédito a 60 meses — frente a un techo operativo de 88 piezas/mes con un solo</w:t>
      </w:r>
      <w:r>
        <w:t xml:space="preserve"> </w:t>
      </w:r>
      <w:r>
        <w:t xml:space="preserve">operario.</w:t>
      </w:r>
      <w:r>
        <w:t xml:space="preserve"> </w:t>
      </w:r>
      <w:r>
        <w:t xml:space="preserve">Fuente: modelo económico derivado, escenario Granada.</w:t>
      </w:r>
    </w:p>
    <w:bookmarkEnd w:id="42"/>
    <w:bookmarkStart w:id="43" w:name="año-1-escenario-conservador-mes-a-mes"/>
    <w:p>
      <w:pPr>
        <w:pStyle w:val="Heading3"/>
      </w:pPr>
      <w:r>
        <w:t xml:space="preserve">Año 1 — escenario conservador (mes a mes)</w:t>
      </w:r>
    </w:p>
    <w:p>
      <w:pPr>
        <w:pStyle w:val="TableCaption"/>
      </w:pPr>
      <w:r>
        <w:t xml:space="preserve">Tabla 8. Escenario conservador, año 1.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8. Escenario conservador, año 1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</w:pPr>
            <w:r>
              <w:t xml:space="preserve">Piezas</w:t>
            </w:r>
          </w:p>
        </w:tc>
        <w:tc>
          <w:tcPr/>
          <w:p>
            <w:pPr>
              <w:pStyle w:val="Compact"/>
            </w:pPr>
            <w:r>
              <w:t xml:space="preserve">Resultado antes de cuota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−259 €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−182 €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  <w:r>
              <w:t xml:space="preserve">−105 €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  <w:r>
              <w:t xml:space="preserve">−105 €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  <w:r>
              <w:t xml:space="preserve">−28 €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  <w:r>
              <w:t xml:space="preserve">−28 €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7,5</w:t>
            </w:r>
          </w:p>
        </w:tc>
        <w:tc>
          <w:tcPr/>
          <w:p>
            <w:pPr>
              <w:pStyle w:val="Compact"/>
            </w:pPr>
            <w:r>
              <w:t xml:space="preserve">+49 €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7,5</w:t>
            </w:r>
          </w:p>
        </w:tc>
        <w:tc>
          <w:tcPr/>
          <w:p>
            <w:pPr>
              <w:pStyle w:val="Compact"/>
            </w:pPr>
            <w:r>
              <w:t xml:space="preserve">+49 €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9,0</w:t>
            </w:r>
          </w:p>
        </w:tc>
        <w:tc>
          <w:tcPr/>
          <w:p>
            <w:pPr>
              <w:pStyle w:val="Compact"/>
            </w:pPr>
            <w:r>
              <w:t xml:space="preserve">+126 €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10,5</w:t>
            </w:r>
          </w:p>
        </w:tc>
        <w:tc>
          <w:tcPr/>
          <w:p>
            <w:pPr>
              <w:pStyle w:val="Compact"/>
            </w:pPr>
            <w:r>
              <w:t xml:space="preserve">+203 €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12,0</w:t>
            </w:r>
          </w:p>
        </w:tc>
        <w:tc>
          <w:tcPr/>
          <w:p>
            <w:pPr>
              <w:pStyle w:val="Compact"/>
            </w:pPr>
            <w:r>
              <w:t xml:space="preserve">+279 €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13,5</w:t>
            </w:r>
          </w:p>
        </w:tc>
        <w:tc>
          <w:tcPr/>
          <w:p>
            <w:pPr>
              <w:pStyle w:val="Compact"/>
            </w:pPr>
            <w:r>
              <w:t xml:space="preserve">+356 €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año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+353 €</w:t>
            </w:r>
          </w:p>
        </w:tc>
      </w:tr>
    </w:tbl>
    <w:p>
      <w:pPr>
        <w:pStyle w:val="BodyText"/>
      </w:pPr>
      <w:r>
        <w:t xml:space="preserve">Primer mes con resultado positivo:</w:t>
      </w:r>
      <w:r>
        <w:t xml:space="preserve"> </w:t>
      </w:r>
      <w:r>
        <w:rPr>
          <w:b/>
          <w:bCs/>
        </w:rPr>
        <w:t xml:space="preserve">M7</w:t>
      </w:r>
      <w:r>
        <w:t xml:space="preserve">. Cubre la cuota del</w:t>
      </w:r>
      <w:r>
        <w:t xml:space="preserve"> </w:t>
      </w:r>
      <w:r>
        <w:t xml:space="preserve">crédito a 60 meses desde</w:t>
      </w:r>
      <w:r>
        <w:t xml:space="preserve"> </w:t>
      </w:r>
      <w:r>
        <w:rPr>
          <w:b/>
          <w:bCs/>
        </w:rPr>
        <w:t xml:space="preserve">M10</w:t>
      </w:r>
      <w:r>
        <w:t xml:space="preserve"> </w:t>
      </w:r>
      <w:r>
        <w:t xml:space="preserve">(a 36 meses desde</w:t>
      </w:r>
      <w:r>
        <w:t xml:space="preserve"> </w:t>
      </w:r>
      <w:r>
        <w:rPr>
          <w:b/>
          <w:bCs/>
        </w:rPr>
        <w:t xml:space="preserve">M11</w:t>
      </w:r>
      <w:r>
        <w:t xml:space="preserve">).</w:t>
      </w:r>
      <w:r>
        <w:t xml:space="preserve"> </w:t>
      </w:r>
      <w:r>
        <w:t xml:space="preserve">Peor valle acumulado de tesorería, con cuota a 60 meses:</w:t>
      </w:r>
      <w:r>
        <w:t xml:space="preserve"> </w:t>
      </w:r>
      <w:r>
        <w:rPr>
          <w:b/>
          <w:bCs/>
        </w:rPr>
        <w:t xml:space="preserve">−1.671 €</w:t>
      </w:r>
      <w:r>
        <w:t xml:space="preserve"> </w:t>
      </w:r>
      <w:r>
        <w:t xml:space="preserve">(capítulo 8 explica cómo este valle queda cubierto por</w:t>
      </w:r>
      <w:r>
        <w:t xml:space="preserve"> </w:t>
      </w:r>
      <w:r>
        <w:t xml:space="preserve">el propio crédito).</w:t>
      </w:r>
    </w:p>
    <w:bookmarkEnd w:id="43"/>
    <w:bookmarkStart w:id="44" w:name="año-1-escenario-realista-mes-a-mes"/>
    <w:p>
      <w:pPr>
        <w:pStyle w:val="Heading3"/>
      </w:pPr>
      <w:r>
        <w:t xml:space="preserve">Año 1 — escenario realista (mes a mes)</w:t>
      </w:r>
    </w:p>
    <w:p>
      <w:pPr>
        <w:pStyle w:val="TableCaption"/>
      </w:pPr>
      <w:r>
        <w:t xml:space="preserve">Tabla 9. Escenario realista, año 1.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9. Escenario realista, año 1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</w:pPr>
            <w:r>
              <w:t xml:space="preserve">Piezas</w:t>
            </w:r>
          </w:p>
        </w:tc>
        <w:tc>
          <w:tcPr/>
          <w:p>
            <w:pPr>
              <w:pStyle w:val="Compact"/>
            </w:pPr>
            <w:r>
              <w:t xml:space="preserve">Resultado antes de cuota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  <w:r>
              <w:t xml:space="preserve">−150 €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7,2</w:t>
            </w:r>
          </w:p>
        </w:tc>
        <w:tc>
          <w:tcPr/>
          <w:p>
            <w:pPr>
              <w:pStyle w:val="Compact"/>
            </w:pPr>
            <w:r>
              <w:t xml:space="preserve">−14 €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7,2</w:t>
            </w:r>
          </w:p>
        </w:tc>
        <w:tc>
          <w:tcPr/>
          <w:p>
            <w:pPr>
              <w:pStyle w:val="Compact"/>
            </w:pPr>
            <w:r>
              <w:t xml:space="preserve">−64 €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10,8</w:t>
            </w:r>
          </w:p>
        </w:tc>
        <w:tc>
          <w:tcPr/>
          <w:p>
            <w:pPr>
              <w:pStyle w:val="Compact"/>
            </w:pPr>
            <w:r>
              <w:t xml:space="preserve">+72 €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12,6</w:t>
            </w:r>
          </w:p>
        </w:tc>
        <w:tc>
          <w:tcPr/>
          <w:p>
            <w:pPr>
              <w:pStyle w:val="Compact"/>
            </w:pPr>
            <w:r>
              <w:t xml:space="preserve">+165 €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16,2</w:t>
            </w:r>
          </w:p>
        </w:tc>
        <w:tc>
          <w:tcPr/>
          <w:p>
            <w:pPr>
              <w:pStyle w:val="Compact"/>
            </w:pPr>
            <w:r>
              <w:t xml:space="preserve">+301 €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18,0</w:t>
            </w:r>
          </w:p>
        </w:tc>
        <w:tc>
          <w:tcPr/>
          <w:p>
            <w:pPr>
              <w:pStyle w:val="Compact"/>
            </w:pPr>
            <w:r>
              <w:t xml:space="preserve">+394 €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19,8</w:t>
            </w:r>
          </w:p>
        </w:tc>
        <w:tc>
          <w:tcPr/>
          <w:p>
            <w:pPr>
              <w:pStyle w:val="Compact"/>
            </w:pPr>
            <w:r>
              <w:t xml:space="preserve">+487 €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23,4</w:t>
            </w:r>
          </w:p>
        </w:tc>
        <w:tc>
          <w:tcPr/>
          <w:p>
            <w:pPr>
              <w:pStyle w:val="Compact"/>
            </w:pPr>
            <w:r>
              <w:t xml:space="preserve">+623 €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25,2</w:t>
            </w:r>
          </w:p>
        </w:tc>
        <w:tc>
          <w:tcPr/>
          <w:p>
            <w:pPr>
              <w:pStyle w:val="Compact"/>
            </w:pPr>
            <w:r>
              <w:t xml:space="preserve">+716 €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28,8</w:t>
            </w:r>
          </w:p>
        </w:tc>
        <w:tc>
          <w:tcPr/>
          <w:p>
            <w:pPr>
              <w:pStyle w:val="Compact"/>
            </w:pPr>
            <w:r>
              <w:t xml:space="preserve">+902 €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32,4</w:t>
            </w:r>
          </w:p>
        </w:tc>
        <w:tc>
          <w:tcPr/>
          <w:p>
            <w:pPr>
              <w:pStyle w:val="Compact"/>
            </w:pPr>
            <w:r>
              <w:t xml:space="preserve">+1.088 €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año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+4.523 €</w:t>
            </w:r>
          </w:p>
        </w:tc>
      </w:tr>
    </w:tbl>
    <w:p>
      <w:pPr>
        <w:pStyle w:val="BodyText"/>
      </w:pPr>
      <w:r>
        <w:t xml:space="preserve">Resultado positivo desde</w:t>
      </w:r>
      <w:r>
        <w:t xml:space="preserve"> </w:t>
      </w:r>
      <w:r>
        <w:rPr>
          <w:b/>
          <w:bCs/>
        </w:rPr>
        <w:t xml:space="preserve">M4</w:t>
      </w:r>
      <w:r>
        <w:t xml:space="preserve">. Cubre la cuota del crédito a 60</w:t>
      </w:r>
      <w:r>
        <w:t xml:space="preserve"> </w:t>
      </w:r>
      <w:r>
        <w:t xml:space="preserve">meses desde</w:t>
      </w:r>
      <w:r>
        <w:t xml:space="preserve"> </w:t>
      </w:r>
      <w:r>
        <w:rPr>
          <w:b/>
          <w:bCs/>
        </w:rPr>
        <w:t xml:space="preserve">M5</w:t>
      </w:r>
      <w:r>
        <w:t xml:space="preserve"> </w:t>
      </w:r>
      <w:r>
        <w:t xml:space="preserve">(a 36 meses desde</w:t>
      </w:r>
      <w:r>
        <w:t xml:space="preserve"> </w:t>
      </w:r>
      <w:r>
        <w:rPr>
          <w:b/>
          <w:bCs/>
        </w:rPr>
        <w:t xml:space="preserve">M6</w:t>
      </w:r>
      <w:r>
        <w:t xml:space="preserve">). Peor</w:t>
      </w:r>
      <w:r>
        <w:t xml:space="preserve"> </w:t>
      </w:r>
      <w:r>
        <w:t xml:space="preserve">valle acumulado de tesorería, con cuota a 60 meses:</w:t>
      </w:r>
      <w:r>
        <w:t xml:space="preserve"> </w:t>
      </w:r>
      <w:r>
        <w:rPr>
          <w:b/>
          <w:bCs/>
        </w:rPr>
        <w:t xml:space="preserve">−683 €</w:t>
      </w:r>
      <w:r>
        <w:t xml:space="preserve">.</w:t>
      </w:r>
    </w:p>
    <w:bookmarkEnd w:id="44"/>
    <w:bookmarkStart w:id="48" w:name="X6b0fade707177543f4226726adb7498554e3328"/>
    <w:p>
      <w:pPr>
        <w:pStyle w:val="Heading3"/>
      </w:pPr>
      <w:r>
        <w:t xml:space="preserve">Tesorería año 1 frente al colchón del crédito</w:t>
      </w:r>
    </w:p>
    <w:p>
      <w:pPr>
        <w:pStyle w:val="CaptionedFigure"/>
      </w:pPr>
      <w:r>
        <w:drawing>
          <wp:inline>
            <wp:extent cx="5334000" cy="2166937"/>
            <wp:effectExtent b="0" l="0" r="0" t="0"/>
            <wp:docPr descr="chart2" title="" id="46" name="Picture"/>
            <a:graphic>
              <a:graphicData uri="http://schemas.openxmlformats.org/drawingml/2006/picture">
                <pic:pic>
                  <pic:nvPicPr>
                    <pic:cNvPr descr="C:/Users/juanm/AppData/Local/Temp/claude/C--Users-juanm-Documents-dev-vesta-web/a3c1c79b-4fda-426b-aa44-228f7649c2f0/scratchpad/svgs/chart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Tesorería acumulada, año 1, cuota a 60 meses ya descontada, partiendo</w:t>
      </w:r>
      <w:r>
        <w:t xml:space="preserve"> </w:t>
      </w:r>
      <w:r>
        <w:t xml:space="preserve">del crédito de 6.500 € ingresado en M0. La caja nunca baja de ≈4.800 € en el</w:t>
      </w:r>
      <w:r>
        <w:t xml:space="preserve"> </w:t>
      </w:r>
      <w:r>
        <w:t xml:space="preserve">escenario conservador ni de ≈5.800 € en el realista: el propio crédito absorbe</w:t>
      </w:r>
      <w:r>
        <w:t xml:space="preserve"> </w:t>
      </w:r>
      <w:r>
        <w:t xml:space="preserve">el peor valle modelado sin que la tesorería llegue a ser negativa.</w:t>
      </w:r>
      <w:r>
        <w:t xml:space="preserve"> </w:t>
      </w:r>
      <w:r>
        <w:t xml:space="preserve">Fuente: modelo económico derivado, escenario Granada, cuota 60 meses.</w:t>
      </w:r>
    </w:p>
    <w:bookmarkEnd w:id="48"/>
    <w:bookmarkStart w:id="49" w:name="años-2-y-3-escenario-realista-anual"/>
    <w:p>
      <w:pPr>
        <w:pStyle w:val="Heading3"/>
      </w:pPr>
      <w:r>
        <w:t xml:space="preserve">Años 2 y 3 — escenario realista (anual)</w:t>
      </w:r>
    </w:p>
    <w:p>
      <w:pPr>
        <w:pStyle w:val="TableCaption"/>
      </w:pPr>
      <w:r>
        <w:t xml:space="preserve">Tabla 10. Proyección años 2–3, escenario realista (pre-IRPF).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10. Proyección años 2–3, escenario realista (pre-IRPF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Piezas/mes</w:t>
            </w:r>
          </w:p>
        </w:tc>
        <w:tc>
          <w:tcPr/>
          <w:p>
            <w:pPr>
              <w:pStyle w:val="Compact"/>
            </w:pPr>
            <w:r>
              <w:t xml:space="preserve">Resultado anual</w:t>
            </w:r>
          </w:p>
        </w:tc>
        <w:tc>
          <w:tcPr/>
          <w:p>
            <w:pPr>
              <w:pStyle w:val="Compact"/>
            </w:pPr>
            <w:r>
              <w:t xml:space="preserve">Resultado anual tras cuota (60m)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Año 2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+25.747 €</w:t>
            </w:r>
          </w:p>
        </w:tc>
        <w:tc>
          <w:tcPr/>
          <w:p>
            <w:pPr>
              <w:pStyle w:val="Compact"/>
            </w:pPr>
            <w:r>
              <w:t xml:space="preserve">+24.165 €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Año 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+34.592 €</w:t>
            </w:r>
          </w:p>
        </w:tc>
        <w:tc>
          <w:tcPr/>
          <w:p>
            <w:pPr>
              <w:pStyle w:val="Compact"/>
            </w:pPr>
            <w:r>
              <w:t xml:space="preserve">+33.010 €</w:t>
            </w:r>
          </w:p>
        </w:tc>
      </w:tr>
    </w:tbl>
    <w:p>
      <w:pPr>
        <w:pStyle w:val="BodyText"/>
      </w:pPr>
      <w:r>
        <w:t xml:space="preserve">Todas las cifras de este capítulo se presentan antes de IRPF. La capacidad de</w:t>
      </w:r>
      <w:r>
        <w:t xml:space="preserve"> </w:t>
      </w:r>
      <w:r>
        <w:t xml:space="preserve">88 piezas/mes con un solo operario deja margen de crecimiento hasta bien entrado</w:t>
      </w:r>
      <w:r>
        <w:t xml:space="preserve"> </w:t>
      </w:r>
      <w:r>
        <w:t xml:space="preserve">el año 3 antes de plantear la incorporación de un segundo operario.</w:t>
      </w:r>
    </w:p>
    <w:bookmarkEnd w:id="49"/>
    <w:bookmarkEnd w:id="50"/>
    <w:bookmarkStart w:id="55" w:name="ch-8"/>
    <w:p>
      <w:pPr>
        <w:pStyle w:val="BodyText"/>
      </w:pPr>
      <w:r>
        <w:t xml:space="preserve">08</w:t>
      </w:r>
    </w:p>
    <w:p>
      <w:pPr>
        <w:pStyle w:val="BodyText"/>
      </w:pPr>
      <w:r>
        <w:t xml:space="preserve">Devolución</w:t>
      </w:r>
    </w:p>
    <w:bookmarkStart w:id="51" w:name="capacidad-de-devolución"/>
    <w:p>
      <w:pPr>
        <w:pStyle w:val="Heading2"/>
      </w:pPr>
      <w:r>
        <w:t xml:space="preserve">Capacidad de devolución</w:t>
      </w:r>
    </w:p>
    <w:bookmarkEnd w:id="51"/>
    <w:p>
      <w:pPr>
        <w:pStyle w:val="FirstParagraph"/>
      </w:pPr>
      <w:r>
        <w:t xml:space="preserve">El argumento central de esta solicitud es sencillo: el crédito se ingresa al</w:t>
      </w:r>
      <w:r>
        <w:t xml:space="preserve"> </w:t>
      </w:r>
      <w:r>
        <w:t xml:space="preserve">inicio, y su propio importe cubre con holgura el servicio de la deuda mientras el</w:t>
      </w:r>
      <w:r>
        <w:t xml:space="preserve"> </w:t>
      </w:r>
      <w:r>
        <w:t xml:space="preserve">negocio alcanza cobertura orgánica de la cuota mensual.</w:t>
      </w:r>
    </w:p>
    <w:p>
      <w:pPr>
        <w:pStyle w:val="BodyText"/>
      </w:pPr>
      <w:r>
        <w:t xml:space="preserve">En el escenario conservador, el peor valle de tesorería (antes de sumar el</w:t>
      </w:r>
      <w:r>
        <w:t xml:space="preserve"> </w:t>
      </w:r>
      <w:r>
        <w:t xml:space="preserve">crédito) es de</w:t>
      </w:r>
      <w:r>
        <w:t xml:space="preserve"> </w:t>
      </w:r>
      <w:r>
        <w:rPr>
          <w:b/>
          <w:bCs/>
        </w:rPr>
        <w:t xml:space="preserve">−1.671 €</w:t>
      </w:r>
      <w:r>
        <w:t xml:space="preserve"> </w:t>
      </w:r>
      <w:r>
        <w:t xml:space="preserve">— con el crédito de 6.500 € ya</w:t>
      </w:r>
      <w:r>
        <w:t xml:space="preserve"> </w:t>
      </w:r>
      <w:r>
        <w:t xml:space="preserve">ingresado, la caja nunca baja de</w:t>
      </w:r>
      <w:r>
        <w:t xml:space="preserve"> </w:t>
      </w:r>
      <w:r>
        <w:rPr>
          <w:b/>
          <w:bCs/>
        </w:rPr>
        <w:t xml:space="preserve">≈4.800 €</w:t>
      </w:r>
      <w:r>
        <w:t xml:space="preserve"> </w:t>
      </w:r>
      <w:r>
        <w:t xml:space="preserve">en ningún mes del</w:t>
      </w:r>
      <w:r>
        <w:t xml:space="preserve"> </w:t>
      </w:r>
      <w:r>
        <w:t xml:space="preserve">primer año. En el escenario realista, el peor valle es de</w:t>
      </w:r>
      <w:r>
        <w:t xml:space="preserve"> </w:t>
      </w:r>
      <w:r>
        <w:rPr>
          <w:b/>
          <w:bCs/>
        </w:rPr>
        <w:t xml:space="preserve">−683 €</w:t>
      </w:r>
      <w:r>
        <w:t xml:space="preserve">,</w:t>
      </w:r>
      <w:r>
        <w:t xml:space="preserve"> </w:t>
      </w:r>
      <w:r>
        <w:t xml:space="preserve">y la caja nunca baja de</w:t>
      </w:r>
      <w:r>
        <w:t xml:space="preserve"> </w:t>
      </w:r>
      <w:r>
        <w:rPr>
          <w:b/>
          <w:bCs/>
        </w:rPr>
        <w:t xml:space="preserve">≈5.800 €</w:t>
      </w:r>
      <w:r>
        <w:t xml:space="preserve">. En ambos casos, el crédito</w:t>
      </w:r>
      <w:r>
        <w:t xml:space="preserve"> </w:t>
      </w:r>
      <w:r>
        <w:t xml:space="preserve">por sí solo — sin necesidad de que el negocio ya sea rentable — cubre</w:t>
      </w:r>
      <w:r>
        <w:t xml:space="preserve"> </w:t>
      </w:r>
      <w:r>
        <w:t xml:space="preserve">sobradamente las primeras cuotas del préstamo.</w:t>
      </w:r>
    </w:p>
    <w:p>
      <w:pPr>
        <w:pStyle w:val="CaptionedFigure"/>
      </w:pPr>
      <w:r>
        <w:drawing>
          <wp:inline>
            <wp:extent cx="5334000" cy="2166937"/>
            <wp:effectExtent b="0" l="0" r="0" t="0"/>
            <wp:docPr descr="chart3" title="" id="53" name="Picture"/>
            <a:graphic>
              <a:graphicData uri="http://schemas.openxmlformats.org/drawingml/2006/picture">
                <pic:pic>
                  <pic:nvPicPr>
                    <pic:cNvPr descr="C:/Users/juanm/AppData/Local/Temp/claude/C--Users-juanm-Documents-dev-vesta-web/a3c1c79b-4fda-426b-aa44-228f7649c2f0/scratchpad/svgs/chart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Resultado mensual antes de cuota frente a las dos cuotas de</w:t>
      </w:r>
      <w:r>
        <w:t xml:space="preserve"> </w:t>
      </w:r>
      <w:r>
        <w:t xml:space="preserve">referencia (203,69 €/36m y 131,80 €/60m). El escenario realista cruza ambas</w:t>
      </w:r>
      <w:r>
        <w:t xml:space="preserve"> </w:t>
      </w:r>
      <w:r>
        <w:t xml:space="preserve">referencias hacia el mes 4–5; el conservador las cruza hacia el mes 10–11 con</w:t>
      </w:r>
      <w:r>
        <w:t xml:space="preserve"> </w:t>
      </w:r>
      <w:r>
        <w:t xml:space="preserve">la cuota a 60 meses.</w:t>
      </w:r>
      <w:r>
        <w:t xml:space="preserve"> </w:t>
      </w:r>
      <w:r>
        <w:t xml:space="preserve">Fuente: modelo económico derivado, escenario Granada.</w:t>
      </w:r>
    </w:p>
    <w:p>
      <w:pPr>
        <w:pStyle w:val="TableCaption"/>
      </w:pPr>
      <w:r>
        <w:t xml:space="preserve">Tabla 11. Mes en que el resultado mensual cubre la cuota, por escenario y plazo.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11. Mes en que el resultado mensual cubre la cuota, por escenario y plaz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Cubre cuota 60m desde</w:t>
            </w:r>
          </w:p>
        </w:tc>
        <w:tc>
          <w:tcPr/>
          <w:p>
            <w:pPr>
              <w:pStyle w:val="Compact"/>
            </w:pPr>
            <w:r>
              <w:t xml:space="preserve">Cubre cuota 36m desde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Conservador</w:t>
            </w:r>
          </w:p>
        </w:tc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Realista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</w:tr>
    </w:tbl>
    <w:p>
      <w:pPr>
        <w:pStyle w:val="BodyText"/>
      </w:pPr>
      <w:r>
        <w:t xml:space="preserve">Idea clave</w:t>
      </w:r>
    </w:p>
    <w:p>
      <w:pPr>
        <w:pStyle w:val="BodyText"/>
      </w:pPr>
      <w:r>
        <w:t xml:space="preserve">La solicitud no depende de que el negocio sea rentable desde el primer mes para</w:t>
      </w:r>
      <w:r>
        <w:t xml:space="preserve"> </w:t>
      </w:r>
      <w:r>
        <w:t xml:space="preserve">devolver el crédito: el propio importe solicitado actúa como colchón de</w:t>
      </w:r>
      <w:r>
        <w:t xml:space="preserve"> </w:t>
      </w:r>
      <w:r>
        <w:t xml:space="preserve">tesorería durante la rampa de arranque, y el negocio alcanza cobertura orgánica</w:t>
      </w:r>
      <w:r>
        <w:t xml:space="preserve"> </w:t>
      </w:r>
      <w:r>
        <w:t xml:space="preserve">de la cuota entre el mes 5 (realista) y el mes 10 (conservador) del primer año,</w:t>
      </w:r>
      <w:r>
        <w:t xml:space="preserve"> </w:t>
      </w:r>
      <w:r>
        <w:t xml:space="preserve">muy por delante del horizonte de amortización de 36 o 60 meses.</w:t>
      </w:r>
    </w:p>
    <w:bookmarkEnd w:id="55"/>
    <w:bookmarkStart w:id="62" w:name="ch-9"/>
    <w:p>
      <w:pPr>
        <w:pStyle w:val="BodyText"/>
      </w:pPr>
      <w:r>
        <w:t xml:space="preserve">09</w:t>
      </w:r>
    </w:p>
    <w:p>
      <w:pPr>
        <w:pStyle w:val="BodyText"/>
      </w:pPr>
      <w:r>
        <w:t xml:space="preserve">Riesgos</w:t>
      </w:r>
    </w:p>
    <w:bookmarkStart w:id="56" w:name="riesgos-y-mitigaciones"/>
    <w:p>
      <w:pPr>
        <w:pStyle w:val="Heading2"/>
      </w:pPr>
      <w:r>
        <w:t xml:space="preserve">Riesgos y mitigaciones</w:t>
      </w:r>
    </w:p>
    <w:bookmarkEnd w:id="56"/>
    <w:p>
      <w:pPr>
        <w:pStyle w:val="FirstParagraph"/>
      </w:pPr>
      <w:r>
        <w:t xml:space="preserve">Como cualquier lanzamiento comercial, el plan está sujeto a riesgos de ritmo de</w:t>
      </w:r>
      <w:r>
        <w:t xml:space="preserve"> </w:t>
      </w:r>
      <w:r>
        <w:t xml:space="preserve">captación, de coste de adquisición y de estacionalidad. El capítulo 10 detalla,</w:t>
      </w:r>
      <w:r>
        <w:t xml:space="preserve"> </w:t>
      </w:r>
      <w:r>
        <w:t xml:space="preserve">en un anexo específico, cada supuesto sobre el que se apoyan las previsiones y</w:t>
      </w:r>
      <w:r>
        <w:t xml:space="preserve"> </w:t>
      </w:r>
      <w:r>
        <w:t xml:space="preserve">qué lo invalidaría; aquí se resumen los riesgos principales y cómo el plan los</w:t>
      </w:r>
      <w:r>
        <w:t xml:space="preserve"> </w:t>
      </w:r>
      <w:r>
        <w:t xml:space="preserve">mitiga.</w:t>
      </w:r>
    </w:p>
    <w:bookmarkStart w:id="57" w:name="riesgo-de-ritmo-de-captación"/>
    <w:p>
      <w:pPr>
        <w:pStyle w:val="Heading3"/>
      </w:pPr>
      <w:r>
        <w:t xml:space="preserve">Riesgo de ritmo de captación</w:t>
      </w:r>
    </w:p>
    <w:p>
      <w:pPr>
        <w:pStyle w:val="FirstParagraph"/>
      </w:pPr>
      <w:r>
        <w:t xml:space="preserve">Si la captación de clientes vía Google Ads es más lenta que en el escenario</w:t>
      </w:r>
      <w:r>
        <w:t xml:space="preserve"> </w:t>
      </w:r>
      <w:r>
        <w:t xml:space="preserve">realista, el negocio queda en el terreno del escenario conservador — modelado</w:t>
      </w:r>
      <w:r>
        <w:t xml:space="preserve"> </w:t>
      </w:r>
      <w:r>
        <w:t xml:space="preserve">explícitamente en el capítulo 7, no como caso extremo sino como piso del rango</w:t>
      </w:r>
      <w:r>
        <w:t xml:space="preserve"> </w:t>
      </w:r>
      <w:r>
        <w:t xml:space="preserve">esperado. Incluso en ese escenario, el crédito cubre el peor valle de tesorería</w:t>
      </w:r>
      <w:r>
        <w:t xml:space="preserve"> </w:t>
      </w:r>
      <w:r>
        <w:t xml:space="preserve">sin tensión (capítulo 8).</w:t>
      </w:r>
    </w:p>
    <w:bookmarkEnd w:id="57"/>
    <w:bookmarkStart w:id="58" w:name="riesgo-de-coste-de-adquisición-cpc"/>
    <w:p>
      <w:pPr>
        <w:pStyle w:val="Heading3"/>
      </w:pPr>
      <w:r>
        <w:t xml:space="preserve">Riesgo de coste de adquisición (CPC)</w:t>
      </w:r>
    </w:p>
    <w:p>
      <w:pPr>
        <w:pStyle w:val="FirstParagraph"/>
      </w:pPr>
      <w:r>
        <w:t xml:space="preserve">El coste por clic específico de Granada no ha podido verificarse de forma</w:t>
      </w:r>
      <w:r>
        <w:t xml:space="preserve"> </w:t>
      </w:r>
      <w:r>
        <w:t xml:space="preserve">independiente (no existe partición regional de CPC para Andalucía en las fuentes</w:t>
      </w:r>
      <w:r>
        <w:t xml:space="preserve"> </w:t>
      </w:r>
      <w:r>
        <w:t xml:space="preserve">consultadas); se modela con la banda nacional central (≈1,5–2,0 €/clic). Si el</w:t>
      </w:r>
      <w:r>
        <w:t xml:space="preserve"> </w:t>
      </w:r>
      <w:r>
        <w:t xml:space="preserve">CPC real en Granada resultase superior a esa banda, el ritmo de captación del</w:t>
      </w:r>
      <w:r>
        <w:t xml:space="preserve"> </w:t>
      </w:r>
      <w:r>
        <w:t xml:space="preserve">escenario conservador sería el más plausible, escenario ya cubierto por el</w:t>
      </w:r>
      <w:r>
        <w:t xml:space="preserve"> </w:t>
      </w:r>
      <w:r>
        <w:t xml:space="preserve">crédito según el capítulo 8.</w:t>
      </w:r>
    </w:p>
    <w:bookmarkEnd w:id="58"/>
    <w:bookmarkStart w:id="59" w:name="riesgo-de-estacionalidad"/>
    <w:p>
      <w:pPr>
        <w:pStyle w:val="Heading3"/>
      </w:pPr>
      <w:r>
        <w:t xml:space="preserve">Riesgo de estacionalidad</w:t>
      </w:r>
    </w:p>
    <w:p>
      <w:pPr>
        <w:pStyle w:val="FirstParagraph"/>
      </w:pPr>
      <w:r>
        <w:t xml:space="preserve">El secado natural del proceso es más lento en invierno que en verano, lo que</w:t>
      </w:r>
      <w:r>
        <w:t xml:space="preserve"> </w:t>
      </w:r>
      <w:r>
        <w:t xml:space="preserve">puede afectar la experiencia percibida del cliente en los meses fríos, aunque no</w:t>
      </w:r>
      <w:r>
        <w:t xml:space="preserve"> </w:t>
      </w:r>
      <w:r>
        <w:t xml:space="preserve">limita la capacidad diaria del operario (capítulo 3). No se ha modelado una</w:t>
      </w:r>
      <w:r>
        <w:t xml:space="preserve"> </w:t>
      </w:r>
      <w:r>
        <w:t xml:space="preserve">estacionalidad explícita mes a mes en las previsiones — un supuesto marcado en el</w:t>
      </w:r>
      <w:r>
        <w:t xml:space="preserve"> </w:t>
      </w:r>
      <w:r>
        <w:t xml:space="preserve">anexo del capítulo 10.</w:t>
      </w:r>
    </w:p>
    <w:bookmarkEnd w:id="59"/>
    <w:bookmarkStart w:id="60" w:name="riesgo-de-dependencia-del-operador-único"/>
    <w:p>
      <w:pPr>
        <w:pStyle w:val="Heading3"/>
      </w:pPr>
      <w:r>
        <w:t xml:space="preserve">Riesgo de dependencia del operador único</w:t>
      </w:r>
    </w:p>
    <w:p>
      <w:pPr>
        <w:pStyle w:val="FirstParagraph"/>
      </w:pPr>
      <w:r>
        <w:t xml:space="preserve">El negocio arranca con el socio fundador como único operario. La ausencia</w:t>
      </w:r>
      <w:r>
        <w:t xml:space="preserve"> </w:t>
      </w:r>
      <w:r>
        <w:t xml:space="preserve">temporal del operador (enfermedad, imprevisto) detiene la facturación mientras</w:t>
      </w:r>
      <w:r>
        <w:t xml:space="preserve"> </w:t>
      </w:r>
      <w:r>
        <w:t xml:space="preserve">dure. Este riesgo se mitiga por la propia experiencia de 26 años del socio</w:t>
      </w:r>
      <w:r>
        <w:t xml:space="preserve"> </w:t>
      </w:r>
      <w:r>
        <w:t xml:space="preserve">fundador y por el fondo de maniobra de 1.500 € incluido en la solicitud</w:t>
      </w:r>
      <w:r>
        <w:t xml:space="preserve"> </w:t>
      </w:r>
      <w:r>
        <w:t xml:space="preserve">(capítulo 6), pensado explícitamente para cubrir un mes adverso.</w:t>
      </w:r>
    </w:p>
    <w:bookmarkEnd w:id="60"/>
    <w:bookmarkStart w:id="61" w:name="riesgo-de-responsabilidad-civil"/>
    <w:p>
      <w:pPr>
        <w:pStyle w:val="Heading3"/>
      </w:pPr>
      <w:r>
        <w:t xml:space="preserve">Riesgo de responsabilidad civil</w:t>
      </w:r>
    </w:p>
    <w:p>
      <w:pPr>
        <w:pStyle w:val="FirstParagraph"/>
      </w:pPr>
      <w:r>
        <w:t xml:space="preserve">El servicio se presta dentro del domicilio del cliente. El plan incluye una</w:t>
      </w:r>
      <w:r>
        <w:t xml:space="preserve"> </w:t>
      </w:r>
      <w:r>
        <w:t xml:space="preserve">partida de seguro de responsabilidad civil (25 €/mes, capítulo 7) dentro de los</w:t>
      </w:r>
      <w:r>
        <w:t xml:space="preserve"> </w:t>
      </w:r>
      <w:r>
        <w:t xml:space="preserve">costes fijos, precisamente para cubrir este riesgo operativo.</w:t>
      </w:r>
    </w:p>
    <w:bookmarkEnd w:id="61"/>
    <w:bookmarkEnd w:id="62"/>
    <w:bookmarkStart w:id="68" w:name="ch-10"/>
    <w:p>
      <w:pPr>
        <w:pStyle w:val="BodyText"/>
      </w:pPr>
      <w:r>
        <w:t xml:space="preserve">10</w:t>
      </w:r>
    </w:p>
    <w:p>
      <w:pPr>
        <w:pStyle w:val="BodyText"/>
      </w:pPr>
      <w:r>
        <w:t xml:space="preserve">Anexos</w:t>
      </w:r>
    </w:p>
    <w:bookmarkStart w:id="63" w:name="anexos"/>
    <w:p>
      <w:pPr>
        <w:pStyle w:val="Heading2"/>
      </w:pPr>
      <w:r>
        <w:t xml:space="preserve">Anexos</w:t>
      </w:r>
    </w:p>
    <w:bookmarkEnd w:id="63"/>
    <w:bookmarkStart w:id="64" w:name="anexo-de-hipótesis-y-supuestos"/>
    <w:p>
      <w:pPr>
        <w:pStyle w:val="Heading3"/>
      </w:pPr>
      <w:r>
        <w:t xml:space="preserve">Anexo de hipótesis y supuestos</w:t>
      </w:r>
    </w:p>
    <w:p>
      <w:pPr>
        <w:pStyle w:val="FirstParagraph"/>
      </w:pPr>
      <w:r>
        <w:t xml:space="preserve">Cada previsión de este documento se apoya en supuestos concretos. Esta tabla los</w:t>
      </w:r>
      <w:r>
        <w:t xml:space="preserve"> </w:t>
      </w:r>
      <w:r>
        <w:t xml:space="preserve">hace explícitos: su base y qué los invalidaría.</w:t>
      </w:r>
    </w:p>
    <w:p>
      <w:pPr>
        <w:pStyle w:val="TableCaption"/>
      </w:pPr>
      <w:r>
        <w:t xml:space="preserve">Tabla 12. Hipótesis y supuestos de carga (load-bearing).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12. Hipótesis y supuestos de carga (load-bearing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Supuesto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Qué lo invalidaría</w:t>
            </w:r>
          </w:p>
        </w:tc>
        <w:tc>
          <w:tcPr/>
          <w:p>
            <w:pPr>
              <w:pStyle w:val="Compact"/>
            </w:pPr>
            <w:r>
              <w:t xml:space="preserve">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 de Google Ads en Granada ≈ banda nacional (1,5–2,0 €/clic)</w:t>
            </w:r>
          </w:p>
        </w:tc>
        <w:tc>
          <w:tcPr/>
          <w:p>
            <w:pPr>
              <w:pStyle w:val="Compact"/>
            </w:pPr>
            <w:r>
              <w:t xml:space="preserve">No existe partición regional de CPC para Andalucía en las fuentes consultadas; se usa la banda nacional sin ajuste</w:t>
            </w:r>
          </w:p>
        </w:tc>
        <w:tc>
          <w:tcPr/>
          <w:p>
            <w:pPr>
              <w:pStyle w:val="Compact"/>
            </w:pPr>
            <w:r>
              <w:t xml:space="preserve">Un CPC de Granada medido y sensiblemente distinto de la banda nacional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 medio por pieza en Granada = 66,70 € IVA incluido</w:t>
            </w:r>
          </w:p>
        </w:tc>
        <w:tc>
          <w:tcPr/>
          <w:p>
            <w:pPr>
              <w:pStyle w:val="Compact"/>
            </w:pPr>
            <w:r>
              <w:t xml:space="preserve">72,50 € (mercado Madrid/Valencia) ajustado −8% por la brecha de renta y precio local observada</w:t>
            </w:r>
          </w:p>
        </w:tc>
        <w:tc>
          <w:tcPr/>
          <w:p>
            <w:pPr>
              <w:pStyle w:val="Compact"/>
            </w:pPr>
            <w:r>
              <w:t xml:space="preserve">Un barrido de precios de Granada más amplio que corrija el ajuste del 8%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Hogares en Granada capital ≈97.000</w:t>
            </w:r>
          </w:p>
        </w:tc>
        <w:tc>
          <w:tcPr/>
          <w:p>
            <w:pPr>
              <w:pStyle w:val="Compact"/>
            </w:pPr>
            <w:r>
              <w:t xml:space="preserve">Población ÷ 2,4 personas/hogar (divisor no verificado específicamente para Granada)</w:t>
            </w:r>
          </w:p>
        </w:tc>
        <w:tc>
          <w:tcPr/>
          <w:p>
            <w:pPr>
              <w:pStyle w:val="Compact"/>
            </w:pPr>
            <w:r>
              <w:t xml:space="preserve">Un dato directo de hogares INE para Granada capital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estacionalidad explícita en el modelo mensual</w:t>
            </w:r>
          </w:p>
        </w:tc>
        <w:tc>
          <w:tcPr/>
          <w:p>
            <w:pPr>
              <w:pStyle w:val="Compact"/>
            </w:pPr>
            <w:r>
              <w:t xml:space="preserve">El secado natural es más lento en invierno, pero no se ha cuantificado su efecto en el ritmo de captación o servicio</w:t>
            </w:r>
          </w:p>
        </w:tc>
        <w:tc>
          <w:tcPr/>
          <w:p>
            <w:pPr>
              <w:pStyle w:val="Compact"/>
            </w:pPr>
            <w:r>
              <w:t xml:space="preserve">Datos de un primer invierno real de operación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Competencia visible en Granada = 7 operadores, 2 con precio público</w:t>
            </w:r>
          </w:p>
        </w:tc>
        <w:tc>
          <w:tcPr/>
          <w:p>
            <w:pPr>
              <w:pStyle w:val="Compact"/>
            </w:pPr>
            <w:r>
              <w:t xml:space="preserve">Barrido de mercado más reducido que el realizado en otras plazas de referencia (7 vs 15–16 perfiles)</w:t>
            </w:r>
          </w:p>
        </w:tc>
        <w:tc>
          <w:tcPr/>
          <w:p>
            <w:pPr>
              <w:pStyle w:val="Compact"/>
            </w:pPr>
            <w:r>
              <w:t xml:space="preserve">Un barrido más amplio de competidores en Granada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de 88 piezas/mes con un solo operario</w:t>
            </w:r>
          </w:p>
        </w:tc>
        <w:tc>
          <w:tcPr/>
          <w:p>
            <w:pPr>
              <w:pStyle w:val="Compact"/>
            </w:pPr>
            <w:r>
              <w:t xml:space="preserve">4 servicios/día × 22 días laborables/mes, estimación de campo del socio fundador</w:t>
            </w:r>
          </w:p>
        </w:tc>
        <w:tc>
          <w:tcPr/>
          <w:p>
            <w:pPr>
              <w:pStyle w:val="Compact"/>
            </w:pPr>
            <w:r>
              <w:t xml:space="preserve">Registro real de servicios/día tras los primeros meses de operación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</w:tbl>
    <w:bookmarkEnd w:id="64"/>
    <w:bookmarkStart w:id="65" w:name="glosario"/>
    <w:p>
      <w:pPr>
        <w:pStyle w:val="Heading3"/>
      </w:pPr>
      <w:r>
        <w:t xml:space="preserve">Glosario</w:t>
      </w:r>
    </w:p>
    <w:p>
      <w:pPr>
        <w:pStyle w:val="DefinitionTerm"/>
      </w:pPr>
      <w:r>
        <w:t xml:space="preserve">TAE</w:t>
      </w:r>
    </w:p>
    <w:p>
      <w:pPr>
        <w:pStyle w:val="Definition"/>
      </w:pPr>
      <w:r>
        <w:t xml:space="preserve">Tasa Anual Equivalente: el coste total del crédito expresado en tasa anual, incluyendo intereses y comisiones.</w:t>
      </w:r>
    </w:p>
    <w:p>
      <w:pPr>
        <w:pStyle w:val="DefinitionTerm"/>
      </w:pPr>
      <w:r>
        <w:t xml:space="preserve">CPC</w:t>
      </w:r>
    </w:p>
    <w:p>
      <w:pPr>
        <w:pStyle w:val="Definition"/>
      </w:pPr>
      <w:r>
        <w:t xml:space="preserve">Coste por clic: lo que se paga cada vez que alguien hace clic en un anuncio de Google Ads.</w:t>
      </w:r>
    </w:p>
    <w:p>
      <w:pPr>
        <w:pStyle w:val="DefinitionTerm"/>
      </w:pPr>
      <w:r>
        <w:t xml:space="preserve">Pieza</w:t>
      </w:r>
    </w:p>
    <w:p>
      <w:pPr>
        <w:pStyle w:val="Definition"/>
      </w:pPr>
      <w:r>
        <w:t xml:space="preserve">Unidad de facturación del servicio: un colchón, un sofá o un mueble tapizado limpiado en una visita.</w:t>
      </w:r>
    </w:p>
    <w:p>
      <w:pPr>
        <w:pStyle w:val="DefinitionTerm"/>
      </w:pPr>
      <w:r>
        <w:t xml:space="preserve">Contribución neta</w:t>
      </w:r>
    </w:p>
    <w:p>
      <w:pPr>
        <w:pStyle w:val="Definition"/>
      </w:pPr>
      <w:r>
        <w:t xml:space="preserve">Ingreso por pieza menos IVA y costes variables (consumibles y desplazamiento); lo que aporta cada pieza a cubrir los costes fijos.</w:t>
      </w:r>
    </w:p>
    <w:p>
      <w:pPr>
        <w:pStyle w:val="DefinitionTerm"/>
      </w:pPr>
      <w:r>
        <w:t xml:space="preserve">Fondo de maniobra</w:t>
      </w:r>
    </w:p>
    <w:p>
      <w:pPr>
        <w:pStyle w:val="Definition"/>
      </w:pPr>
      <w:r>
        <w:t xml:space="preserve">Reserva de tesorería destinada a cubrir un mes con resultado adverso sin comprometer los pagos corrientes del negocio.</w:t>
      </w:r>
    </w:p>
    <w:bookmarkEnd w:id="65"/>
    <w:bookmarkStart w:id="66" w:name="documentación-a-aportar"/>
    <w:p>
      <w:pPr>
        <w:pStyle w:val="Heading3"/>
      </w:pPr>
      <w:r>
        <w:t xml:space="preserve">Documentación a aportar</w:t>
      </w:r>
    </w:p>
    <w:p>
      <w:pPr>
        <w:pStyle w:val="FirstParagraph"/>
      </w:pPr>
      <w:r>
        <w:t xml:space="preserve">Lista de adjuntos que la entidad podrá requerir para completar el expediente:</w:t>
      </w:r>
    </w:p>
    <w:p>
      <w:pPr>
        <w:pStyle w:val="DefinitionTerm"/>
      </w:pPr>
      <w:r>
        <w:t xml:space="preserve">Identidad</w:t>
      </w:r>
    </w:p>
    <w:p>
      <w:pPr>
        <w:pStyle w:val="Definition"/>
      </w:pPr>
      <w:r>
        <w:t xml:space="preserve">[PLACEHOLDER — DNI/NIE]</w:t>
      </w:r>
    </w:p>
    <w:p>
      <w:pPr>
        <w:pStyle w:val="DefinitionTerm"/>
      </w:pPr>
      <w:r>
        <w:t xml:space="preserve">Alta de autónomo</w:t>
      </w:r>
    </w:p>
    <w:p>
      <w:pPr>
        <w:pStyle w:val="Definition"/>
      </w:pPr>
      <w:r>
        <w:t xml:space="preserve">[PLACEHOLDER — certificado de alta autónomo]</w:t>
      </w:r>
    </w:p>
    <w:p>
      <w:pPr>
        <w:pStyle w:val="DefinitionTerm"/>
      </w:pPr>
      <w:r>
        <w:t xml:space="preserve">Vida laboral</w:t>
      </w:r>
    </w:p>
    <w:p>
      <w:pPr>
        <w:pStyle w:val="Definition"/>
      </w:pPr>
      <w:r>
        <w:t xml:space="preserve">[PLACEHOLDER — informe de vida laboral]</w:t>
      </w:r>
    </w:p>
    <w:p>
      <w:pPr>
        <w:pStyle w:val="DefinitionTerm"/>
      </w:pPr>
      <w:r>
        <w:t xml:space="preserve">IRPF</w:t>
      </w:r>
    </w:p>
    <w:p>
      <w:pPr>
        <w:pStyle w:val="Definition"/>
      </w:pPr>
      <w:r>
        <w:t xml:space="preserve">[PLACEHOLDER — última declaración de IRPF disponible]</w:t>
      </w:r>
    </w:p>
    <w:p>
      <w:pPr>
        <w:pStyle w:val="DefinitionTerm"/>
      </w:pPr>
      <w:r>
        <w:t xml:space="preserve">Proformas</w:t>
      </w:r>
    </w:p>
    <w:p>
      <w:pPr>
        <w:pStyle w:val="Definition"/>
      </w:pPr>
      <w:r>
        <w:t xml:space="preserve">[PLACEHOLDER — proformas de equipo/vehículo, si la entidad las requiere pese a ser aportación ya pagada]</w:t>
      </w:r>
    </w:p>
    <w:bookmarkEnd w:id="66"/>
    <w:bookmarkStart w:id="67" w:name="fuentes"/>
    <w:p>
      <w:pPr>
        <w:pStyle w:val="Heading3"/>
      </w:pPr>
      <w:r>
        <w:t xml:space="preserve">Fuentes</w:t>
      </w:r>
    </w:p>
    <w:p>
      <w:pPr>
        <w:pStyle w:val="FirstParagraph"/>
      </w:pPr>
      <w:r>
        <w:t xml:space="preserve">Datos de población y hogares: INE Padrón vía Ahora Granada (1-ene-2025) y</w:t>
      </w:r>
      <w:r>
        <w:t xml:space="preserve"> </w:t>
      </w:r>
      <w:r>
        <w:t xml:space="preserve">granadadigital.es. Renta por hogar: INE, Atlas de Distribución de Renta de los</w:t>
      </w:r>
      <w:r>
        <w:t xml:space="preserve"> </w:t>
      </w:r>
      <w:r>
        <w:t xml:space="preserve">Hogares 2023. Precios de competencia: sitios propios de Clean-Home y Happy Clean</w:t>
      </w:r>
      <w:r>
        <w:t xml:space="preserve"> </w:t>
      </w:r>
      <w:r>
        <w:t xml:space="preserve">(Granada), consultados en la elaboración de este dossier. Modelo económico:</w:t>
      </w:r>
      <w:r>
        <w:t xml:space="preserve"> </w:t>
      </w:r>
      <w:r>
        <w:t xml:space="preserve">motor de derivación interno de Grupo Vesta, parametrizado para el escenario de</w:t>
      </w:r>
      <w:r>
        <w:t xml:space="preserve"> </w:t>
      </w:r>
      <w:r>
        <w:t xml:space="preserve">Granada a partir de los costes e ingresos descritos en los capítulos 6 y 7.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empresa y solicitud de financiación — Grupo Vesta</dc:title>
  <dc:creator/>
  <dc:language>es</dc:language>
  <cp:keywords/>
  <dcterms:created xsi:type="dcterms:W3CDTF">2026-07-08T15:17:43Z</dcterms:created>
  <dcterms:modified xsi:type="dcterms:W3CDTF">2026-07-08T15:17:43Z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