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5A88"/>
          <w:sz w:val="60"/>
        </w:rPr>
        <w:t>AgeCare</w:t>
      </w:r>
    </w:p>
    <w:p>
      <w:pPr>
        <w:jc w:val="center"/>
      </w:pPr>
      <w:r>
        <w:rPr>
          <w:i/>
          <w:color w:val="595959"/>
          <w:sz w:val="24"/>
        </w:rPr>
        <w:t>Plataforma digital integral de cuidado de adultos mayores</w:t>
      </w:r>
    </w:p>
    <w:p/>
    <w:p>
      <w:pPr>
        <w:jc w:val="center"/>
      </w:pPr>
      <w:r>
        <w:rPr>
          <w:b/>
          <w:sz w:val="36"/>
        </w:rPr>
        <w:t>AgeCare — Análisis y Corrección de Normalización (hasta 2FN)</w:t>
      </w:r>
    </w:p>
    <w:p>
      <w:pPr>
        <w:jc w:val="center"/>
      </w:pPr>
      <w:r>
        <w:rPr>
          <w:color w:val="595959"/>
          <w:sz w:val="24"/>
        </w:rPr>
        <w:t>Avance Fase 2 · Diseño del Sistema</w:t>
      </w:r>
    </w:p>
    <w:p/>
    <w:p/>
    <w:p/>
    <w:p/>
    <w:p/>
    <w:p/>
    <w:p>
      <w:pPr>
        <w:jc w:val="center"/>
      </w:pPr>
      <w:r>
        <w:rPr>
          <w:sz w:val="22"/>
        </w:rPr>
        <w:t>Proyecto APT · Capstone PTY4614</w:t>
      </w:r>
    </w:p>
    <w:p>
      <w:pPr>
        <w:jc w:val="center"/>
      </w:pPr>
      <w:r>
        <w:rPr>
          <w:sz w:val="22"/>
        </w:rPr>
        <w:t>Duoc UC · Escuela de Informática y Telecomunicaciones · Sede San Andrés de Concepción</w:t>
      </w:r>
    </w:p>
    <w:p>
      <w:pPr>
        <w:jc w:val="center"/>
      </w:pPr>
      <w:r>
        <w:rPr>
          <w:sz w:val="22"/>
        </w:rPr>
        <w:t>Empresa contraparte: Alloxentric</w:t>
      </w:r>
    </w:p>
    <w:p>
      <w:pPr>
        <w:jc w:val="center"/>
      </w:pPr>
      <w:r>
        <w:rPr>
          <w:sz w:val="22"/>
        </w:rPr>
        <w:t>Equipo: Javier Cerna Chávez · Benjamín Camus · Juan Mora</w:t>
      </w:r>
    </w:p>
    <w:p>
      <w:pPr>
        <w:jc w:val="center"/>
      </w:pPr>
      <w:r>
        <w:rPr>
          <w:sz w:val="22"/>
        </w:rPr>
        <w:t>Docentes: Jazna Meza Hidalgo · Juan Pablo Mellado Alarcón</w:t>
      </w:r>
    </w:p>
    <w:p>
      <w:r>
        <w:br w:type="page"/>
      </w:r>
    </w:p>
    <w:p>
      <w:r>
        <w:rPr>
          <w:b/>
          <w:color w:val="2E5A88"/>
          <w:sz w:val="32"/>
        </w:rP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A0A0A0"/>
          <w:sz w:val="16"/>
        </w:rPr>
        <w:t>(Clic derecho → Actualizar campos para numerar el índice)</w:t>
      </w:r>
    </w:p>
    <w:p>
      <w:r>
        <w:br w:type="page"/>
      </w:r>
    </w:p>
    <w:p>
      <w:pPr>
        <w:pStyle w:val="Heading1"/>
      </w:pPr>
      <w:r>
        <w:t>AgeCare — Análisis y Corrección de Normalización (hasta 2FN)</w:t>
      </w:r>
    </w:p>
    <w:p>
      <w:r>
        <w:t>Revisión del esquema SQL (</w:t>
      </w:r>
      <w:r>
        <w:rPr>
          <w:rFonts w:ascii="Consolas" w:hAnsi="Consolas"/>
          <w:color w:val="C7254E"/>
          <w:sz w:val="18"/>
        </w:rPr>
        <w:t>sql/</w:t>
      </w:r>
      <w:r>
        <w:t>) contra la Primera y Segunda Forma Normal,</w:t>
      </w:r>
    </w:p>
    <w:p>
      <w:r>
        <w:t xml:space="preserve">con el estado de cada corrección </w:t>
      </w:r>
      <w:r>
        <w:rPr>
          <w:b/>
        </w:rPr>
        <w:t>ya aplicada</w:t>
      </w:r>
      <w:r>
        <w:t xml:space="preserve"> al repositorio.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Conceptos aplicados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Forma Normal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1FN</w:t>
            </w:r>
          </w:p>
        </w:tc>
        <w:tc>
          <w:tcPr>
            <w:tcW w:type="dxa" w:w="4320"/>
          </w:tcPr>
          <w:p>
            <w:r/>
            <w:r>
              <w:t>Cada celda contiene un valor atómico. No hay grupos repetidos ni arreglos multivaluados. Existe clave primaria.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2FN</w:t>
            </w:r>
          </w:p>
        </w:tc>
        <w:tc>
          <w:tcPr>
            <w:tcW w:type="dxa" w:w="4320"/>
          </w:tcPr>
          <w:p>
            <w:r/>
            <w:r>
              <w:t xml:space="preserve">Cumple 1FN + cada atributo no-clave depende de </w:t>
            </w:r>
            <w:r>
              <w:rPr>
                <w:b/>
              </w:rPr>
              <w:t>toda</w:t>
            </w:r>
            <w:r>
              <w:t xml:space="preserve"> la clave primaria, no de una parte. Aplica cuando la PK es compuesta.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Estado de las pifias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Gravedad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conditions</w:t>
            </w:r>
            <w:r>
              <w:t xml:space="preserve"> arreglo JSON (1FN)</w:t>
            </w:r>
          </w:p>
        </w:tc>
        <w:tc>
          <w:tcPr>
            <w:tcW w:type="dxa" w:w="1728"/>
          </w:tcPr>
          <w:p>
            <w:r/>
            <w:r>
              <w:t>🔴 Alta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patient_conditions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full_name</w:t>
            </w:r>
            <w:r>
              <w:t xml:space="preserve"> no atómico (1FN)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rut_dv</w:t>
            </w:r>
            <w:r>
              <w:t xml:space="preserve"> derivable de </w:t>
            </w:r>
            <w:r>
              <w:rPr>
                <w:rFonts w:ascii="Consolas" w:hAnsi="Consolas"/>
                <w:color w:val="C7254E"/>
                <w:sz w:val="18"/>
              </w:rPr>
              <w:t>rut_number</w:t>
            </w:r>
          </w:p>
        </w:tc>
        <w:tc>
          <w:tcPr>
            <w:tcW w:type="dxa" w:w="1728"/>
          </w:tcPr>
          <w:p>
            <w:r/>
            <w:r>
              <w:t>🟢 Baja</w:t>
            </w:r>
          </w:p>
        </w:tc>
        <w:tc>
          <w:tcPr>
            <w:tcW w:type="dxa" w:w="1728"/>
          </w:tcPr>
          <w:p>
            <w:r/>
            <w:r>
              <w:t>✅ Documentado como derivado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times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days_of_week</w:t>
            </w:r>
            <w:r>
              <w:t xml:space="preserve"> JSON (1FN)</w:t>
            </w:r>
          </w:p>
        </w:tc>
        <w:tc>
          <w:tcPr>
            <w:tcW w:type="dxa" w:w="1728"/>
          </w:tcPr>
          <w:p>
            <w:r/>
            <w:r>
              <w:t>🔴 Alta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medication_times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medication_days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patient_id</w:t>
            </w:r>
            <w:r>
              <w:t xml:space="preserve"> dependencia parcial (2FN)</w:t>
            </w:r>
          </w:p>
        </w:tc>
        <w:tc>
          <w:tcPr>
            <w:tcW w:type="dxa" w:w="1728"/>
          </w:tcPr>
          <w:p>
            <w:r/>
            <w:r>
              <w:t>🔴 Alta</w:t>
            </w:r>
          </w:p>
        </w:tc>
        <w:tc>
          <w:tcPr>
            <w:tcW w:type="dxa" w:w="1728"/>
          </w:tcPr>
          <w:p>
            <w:r/>
            <w:r>
              <w:t>✅ Corregido → eliminado, se usa JOIN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update_at</w:t>
            </w:r>
            <w:r>
              <w:t xml:space="preserve"> typo (rompía el trigger)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updated_at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payload</w:t>
            </w:r>
            <w:r>
              <w:t xml:space="preserve"> JSON sin estructura (1FN)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>✅ Documentado como excepción justificada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vital_readings</w:t>
            </w:r>
          </w:p>
        </w:tc>
        <w:tc>
          <w:tcPr>
            <w:tcW w:type="dxa" w:w="1728"/>
          </w:tcPr>
          <w:p>
            <w:r/>
            <w:r>
              <w:t xml:space="preserve">PK compuesta </w:t>
            </w:r>
            <w:r>
              <w:rPr>
                <w:rFonts w:ascii="Consolas" w:hAnsi="Consolas"/>
                <w:color w:val="C7254E"/>
                <w:sz w:val="18"/>
              </w:rPr>
              <w:t>(id, measured_at)</w:t>
            </w:r>
            <w:r>
              <w:t xml:space="preserve"> (2FN)</w:t>
            </w:r>
          </w:p>
        </w:tc>
        <w:tc>
          <w:tcPr>
            <w:tcW w:type="dxa" w:w="1728"/>
          </w:tcPr>
          <w:p>
            <w:r/>
            <w:r>
              <w:t>🔴 Alta</w:t>
            </w:r>
          </w:p>
        </w:tc>
        <w:tc>
          <w:tcPr>
            <w:tcW w:type="dxa" w:w="1728"/>
          </w:tcPr>
          <w:p>
            <w:r/>
            <w:r>
              <w:t>✅ Documentado como excepción técnica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vital_readings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meta</w:t>
            </w:r>
            <w:r>
              <w:t xml:space="preserve"> JSON sin estructura (1FN)</w:t>
            </w:r>
          </w:p>
        </w:tc>
        <w:tc>
          <w:tcPr>
            <w:tcW w:type="dxa" w:w="1728"/>
          </w:tcPr>
          <w:p>
            <w:r/>
            <w:r>
              <w:t>🟢 Baja</w:t>
            </w:r>
          </w:p>
        </w:tc>
        <w:tc>
          <w:tcPr>
            <w:tcW w:type="dxa" w:w="1728"/>
          </w:tcPr>
          <w:p>
            <w:r/>
            <w:r>
              <w:t>✅ Documentado como excepción justificada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vital_thresholds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CHECK</w:t>
            </w:r>
            <w:r>
              <w:t xml:space="preserve"> de </w:t>
            </w:r>
            <w:r>
              <w:rPr>
                <w:rFonts w:ascii="Consolas" w:hAnsi="Consolas"/>
                <w:color w:val="C7254E"/>
                <w:sz w:val="18"/>
              </w:rPr>
              <w:t>type</w:t>
            </w:r>
            <w:r>
              <w:t xml:space="preserve"> duplicado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 xml:space="preserve">✅ Corregido → catálogo </w:t>
            </w:r>
            <w:r>
              <w:rPr>
                <w:rFonts w:ascii="Consolas" w:hAnsi="Consolas"/>
                <w:color w:val="C7254E"/>
                <w:sz w:val="18"/>
              </w:rPr>
              <w:t>vital_types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full_name</w:t>
            </w:r>
            <w:r>
              <w:t xml:space="preserve"> no atómico (1FN)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push_devices</w:t>
            </w:r>
          </w:p>
        </w:tc>
        <w:tc>
          <w:tcPr>
            <w:tcW w:type="dxa" w:w="1728"/>
          </w:tcPr>
          <w:p>
            <w:r/>
            <w:r>
              <w:t xml:space="preserve">trigger </w:t>
            </w:r>
            <w:r>
              <w:rPr>
                <w:rFonts w:ascii="Consolas" w:hAnsi="Consolas"/>
                <w:color w:val="C7254E"/>
                <w:sz w:val="18"/>
              </w:rPr>
              <w:t>updated_at</w:t>
            </w:r>
            <w:r>
              <w:t xml:space="preserve"> faltante</w:t>
            </w:r>
          </w:p>
        </w:tc>
        <w:tc>
          <w:tcPr>
            <w:tcW w:type="dxa" w:w="1728"/>
          </w:tcPr>
          <w:p>
            <w:r/>
            <w:r>
              <w:t>🟢 Baja</w:t>
            </w:r>
          </w:p>
        </w:tc>
        <w:tc>
          <w:tcPr>
            <w:tcW w:type="dxa" w:w="1728"/>
          </w:tcPr>
          <w:p>
            <w:r/>
            <w:r>
              <w:t>✅ Corregido → trigger agregado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full_name</w:t>
            </w:r>
            <w:r>
              <w:t xml:space="preserve"> no atómico (1FN)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dose</w:t>
            </w:r>
            <w:r>
              <w:t xml:space="preserve"> varchar "50 mg" no computable (1FN)</w:t>
            </w:r>
          </w:p>
        </w:tc>
        <w:tc>
          <w:tcPr>
            <w:tcW w:type="dxa" w:w="1728"/>
          </w:tcPr>
          <w:p>
            <w:r/>
            <w:r>
              <w:t>🟡 Media</w:t>
            </w:r>
          </w:p>
        </w:tc>
        <w:tc>
          <w:tcPr>
            <w:tcW w:type="dxa" w:w="1728"/>
          </w:tcPr>
          <w:p>
            <w:r/>
            <w:r>
              <w:t xml:space="preserve">✅ Corregido → </w:t>
            </w:r>
            <w:r>
              <w:rPr>
                <w:rFonts w:ascii="Consolas" w:hAnsi="Consolas"/>
                <w:color w:val="C7254E"/>
                <w:sz w:val="18"/>
              </w:rPr>
              <w:t>dose_amount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dose_unit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logged_at</w:t>
            </w:r>
            <w:r>
              <w:t xml:space="preserve"> confundía hecho clínico y registro</w:t>
            </w:r>
          </w:p>
        </w:tc>
        <w:tc>
          <w:tcPr>
            <w:tcW w:type="dxa" w:w="1728"/>
          </w:tcPr>
          <w:p>
            <w:r/>
            <w:r>
              <w:t>🔴 Alta</w:t>
            </w:r>
          </w:p>
        </w:tc>
        <w:tc>
          <w:tcPr>
            <w:tcW w:type="dxa" w:w="1728"/>
          </w:tcPr>
          <w:p>
            <w:r/>
            <w:r>
              <w:t xml:space="preserve">✅ Corregido → se agrega </w:t>
            </w:r>
            <w:r>
              <w:rPr>
                <w:rFonts w:ascii="Consolas" w:hAnsi="Consolas"/>
                <w:color w:val="C7254E"/>
                <w:sz w:val="18"/>
              </w:rPr>
              <w:t>administered_at</w:t>
            </w:r>
          </w:p>
        </w:tc>
      </w:tr>
    </w:tbl>
    <w:p/>
    <w:p>
      <w:r>
        <w:rPr>
          <w:b/>
        </w:rPr>
        <w:t>Total: 15 pifias — 11 corregidas estructuralmente, 4 documentadas como excepción justificada.</w:t>
      </w:r>
    </w:p>
    <w:p>
      <w:pPr>
        <w:pStyle w:val="IntenseQuote"/>
      </w:pPr>
      <w:r>
        <w:t xml:space="preserve">Las correcciones 13 a 15 provienen del </w:t>
      </w:r>
      <w:r>
        <w:rPr>
          <w:b/>
        </w:rPr>
        <w:t>análisis de realidad</w:t>
      </w:r>
      <w:r>
        <w:t xml:space="preserve"> (documento 04): surgieron al</w:t>
      </w:r>
    </w:p>
    <w:p>
      <w:pPr>
        <w:pStyle w:val="IntenseQuote"/>
      </w:pPr>
      <w:r>
        <w:t>evaluar escenarios del mundo real (negligencia humana, registro tardío de dosis, coherencia</w:t>
      </w:r>
    </w:p>
    <w:p>
      <w:pPr>
        <w:pStyle w:val="IntenseQuote"/>
      </w:pPr>
      <w:r>
        <w:t>de nombres) más allá de la revisión formal de formas normales.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Correcciones estructurales aplicadas</w:t>
      </w:r>
    </w:p>
    <w:p>
      <w:pPr>
        <w:pStyle w:val="Heading3"/>
      </w:pPr>
      <w:r>
        <w:t xml:space="preserve">1. </w:t>
      </w:r>
      <w:r>
        <w:rPr>
          <w:rFonts w:ascii="Consolas" w:hAnsi="Consolas"/>
          <w:color w:val="C7254E"/>
          <w:sz w:val="18"/>
        </w:rPr>
        <w:t>patient_conditions</w:t>
      </w:r>
      <w:r>
        <w:t xml:space="preserve"> (reemplaza </w:t>
      </w:r>
      <w:r>
        <w:rPr>
          <w:rFonts w:ascii="Consolas" w:hAnsi="Consolas"/>
          <w:color w:val="C7254E"/>
          <w:sz w:val="18"/>
        </w:rPr>
        <w:t>patients.conditions</w:t>
      </w:r>
      <w:r>
        <w:t>)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CREATE TABLE patient_conditions (</w:t>
        <w:br/>
        <w:t xml:space="preserve">    id         uuid PRIMARY KEY DEFAULT gen_random_uuid(),</w:t>
        <w:br/>
        <w:t xml:space="preserve">    patient_id uuid NOT NULL REFERENCES patients(id) ON DELETE RESTRICT,</w:t>
        <w:br/>
        <w:t xml:space="preserve">    condition  varchar(80) NOT NULL,</w:t>
        <w:br/>
        <w:t xml:space="preserve">    diagnosed_at date,</w:t>
        <w:br/>
        <w:t xml:space="preserve">    CONSTRAINT uq_patient_condition UNIQUE (patient_id, condition)</w:t>
        <w:br/>
        <w:t>);</w:t>
      </w:r>
    </w:p>
    <w:p>
      <w:r>
        <w:t>Cada condición médica es una fila atómica. Permite filtrar e indexar por padecimiento y guardar fecha de diagnóstico.</w:t>
      </w:r>
    </w:p>
    <w:p>
      <w:pPr>
        <w:pStyle w:val="Heading3"/>
      </w:pPr>
      <w:r>
        <w:t xml:space="preserve">2 y 11. </w:t>
      </w:r>
      <w:r>
        <w:rPr>
          <w:rFonts w:ascii="Consolas" w:hAnsi="Consolas"/>
          <w:color w:val="C7254E"/>
          <w:sz w:val="18"/>
        </w:rPr>
        <w:t>first_name</w:t>
      </w:r>
      <w:r>
        <w:t xml:space="preserve"> + </w:t>
      </w:r>
      <w:r>
        <w:rPr>
          <w:rFonts w:ascii="Consolas" w:hAnsi="Consolas"/>
          <w:color w:val="C7254E"/>
          <w:sz w:val="18"/>
        </w:rPr>
        <w:t>last_name</w:t>
      </w:r>
      <w:r>
        <w:t xml:space="preserve"> en </w:t>
      </w:r>
      <w:r>
        <w:rPr>
          <w:rFonts w:ascii="Consolas" w:hAnsi="Consolas"/>
          <w:color w:val="C7254E"/>
          <w:sz w:val="18"/>
        </w:rPr>
        <w:t>patients</w:t>
      </w:r>
      <w:r>
        <w:t xml:space="preserve"> y </w:t>
      </w:r>
      <w:r>
        <w:rPr>
          <w:rFonts w:ascii="Consolas" w:hAnsi="Consolas"/>
          <w:color w:val="C7254E"/>
          <w:sz w:val="18"/>
        </w:rPr>
        <w:t>users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first_name varchar(60) NOT NULL,</w:t>
        <w:br/>
        <w:t>last_name  varchar(60) NOT NULL,</w:t>
        <w:br/>
        <w:t>full_name  varchar(121) GENERATED ALWAYS AS (first_name || ' ' || last_name) STORED,</w:t>
      </w:r>
    </w:p>
    <w:p>
      <w:r>
        <w:rPr>
          <w:rFonts w:ascii="Consolas" w:hAnsi="Consolas"/>
          <w:color w:val="C7254E"/>
          <w:sz w:val="18"/>
        </w:rPr>
        <w:t>full_name</w:t>
      </w:r>
      <w:r>
        <w:t xml:space="preserve"> se mantiene como columna </w:t>
      </w:r>
      <w:r>
        <w:rPr>
          <w:b/>
        </w:rPr>
        <w:t>calculada</w:t>
      </w:r>
      <w:r>
        <w:t xml:space="preserve"> (solo lectura) para no romper el contrato de la API v1.</w:t>
      </w:r>
    </w:p>
    <w:p>
      <w:pPr>
        <w:pStyle w:val="Heading3"/>
      </w:pPr>
      <w:r>
        <w:t xml:space="preserve">4. </w:t>
      </w:r>
      <w:r>
        <w:rPr>
          <w:rFonts w:ascii="Consolas" w:hAnsi="Consolas"/>
          <w:color w:val="C7254E"/>
          <w:sz w:val="18"/>
        </w:rPr>
        <w:t>medication_times</w:t>
      </w:r>
      <w:r>
        <w:t xml:space="preserve"> + </w:t>
      </w:r>
      <w:r>
        <w:rPr>
          <w:rFonts w:ascii="Consolas" w:hAnsi="Consolas"/>
          <w:color w:val="C7254E"/>
          <w:sz w:val="18"/>
        </w:rPr>
        <w:t>medication_days</w:t>
      </w:r>
      <w:r>
        <w:t xml:space="preserve"> (reemplazan los JSON de </w:t>
      </w:r>
      <w:r>
        <w:rPr>
          <w:rFonts w:ascii="Consolas" w:hAnsi="Consolas"/>
          <w:color w:val="C7254E"/>
          <w:sz w:val="18"/>
        </w:rPr>
        <w:t>medications</w:t>
      </w:r>
      <w:r>
        <w:t>)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CREATE TABLE medication_times (</w:t>
        <w:br/>
        <w:t xml:space="preserve">    id uuid PRIMARY KEY DEFAULT gen_random_uuid(),</w:t>
        <w:br/>
        <w:t xml:space="preserve">    medication_id uuid NOT NULL REFERENCES medications(id) ON DELETE RESTRICT,</w:t>
        <w:br/>
        <w:t xml:space="preserve">    time_of_day   time NOT NULL,</w:t>
        <w:br/>
        <w:t xml:space="preserve">    UNIQUE (medication_id, time_of_day)</w:t>
        <w:br/>
        <w:t>);</w:t>
        <w:br/>
        <w:t>CREATE TABLE medication_days (</w:t>
        <w:br/>
        <w:t xml:space="preserve">    medication_id uuid NOT NULL REFERENCES medications(id) ON DELETE RESTRICT,</w:t>
        <w:br/>
        <w:t xml:space="preserve">    day_of_week   smallint CHECK (day_of_week BETWEEN 1 AND 7),</w:t>
        <w:br/>
        <w:t xml:space="preserve">    PRIMARY KEY (medication_id, day_of_week)</w:t>
        <w:br/>
        <w:t>);</w:t>
      </w:r>
    </w:p>
    <w:p>
      <w:pPr>
        <w:pStyle w:val="Heading3"/>
      </w:pPr>
      <w:r>
        <w:t xml:space="preserve">5. </w:t>
      </w:r>
      <w:r>
        <w:rPr>
          <w:rFonts w:ascii="Consolas" w:hAnsi="Consolas"/>
          <w:color w:val="C7254E"/>
          <w:sz w:val="18"/>
        </w:rPr>
        <w:t>scheduled_doses</w:t>
      </w:r>
      <w:r>
        <w:t xml:space="preserve"> sin </w:t>
      </w:r>
      <w:r>
        <w:rPr>
          <w:rFonts w:ascii="Consolas" w:hAnsi="Consolas"/>
          <w:color w:val="C7254E"/>
          <w:sz w:val="18"/>
        </w:rPr>
        <w:t>patient_id</w:t>
      </w:r>
    </w:p>
    <w:p>
      <w:r>
        <w:t xml:space="preserve">Columna eliminada (era dependencia parcial de </w:t>
      </w:r>
      <w:r>
        <w:rPr>
          <w:rFonts w:ascii="Consolas" w:hAnsi="Consolas"/>
          <w:color w:val="C7254E"/>
          <w:sz w:val="18"/>
        </w:rPr>
        <w:t>medication_id</w:t>
      </w:r>
      <w:r>
        <w:t>). Las consultas por paciente hacen: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JOIN medications m ON m.id = sd.medication_id WHERE m.patient_id = :pid</w:t>
      </w:r>
    </w:p>
    <w:p>
      <w:pPr>
        <w:pStyle w:val="Heading3"/>
      </w:pPr>
      <w:r>
        <w:t xml:space="preserve">6. </w:t>
      </w:r>
      <w:r>
        <w:rPr>
          <w:rFonts w:ascii="Consolas" w:hAnsi="Consolas"/>
          <w:color w:val="C7254E"/>
          <w:sz w:val="18"/>
        </w:rPr>
        <w:t>alerts.update_at</w:t>
      </w:r>
      <w:r>
        <w:t xml:space="preserve"> → </w:t>
      </w:r>
      <w:r>
        <w:rPr>
          <w:rFonts w:ascii="Consolas" w:hAnsi="Consolas"/>
          <w:color w:val="C7254E"/>
          <w:sz w:val="18"/>
        </w:rPr>
        <w:t>updated_at</w:t>
      </w:r>
    </w:p>
    <w:p>
      <w:r>
        <w:t xml:space="preserve">El trigger </w:t>
      </w:r>
      <w:r>
        <w:rPr>
          <w:rFonts w:ascii="Consolas" w:hAnsi="Consolas"/>
          <w:color w:val="C7254E"/>
          <w:sz w:val="18"/>
        </w:rPr>
        <w:t>tg_alerts_updated_at</w:t>
      </w:r>
      <w:r>
        <w:t xml:space="preserve"> escribe en </w:t>
      </w:r>
      <w:r>
        <w:rPr>
          <w:rFonts w:ascii="Consolas" w:hAnsi="Consolas"/>
          <w:color w:val="C7254E"/>
          <w:sz w:val="18"/>
        </w:rPr>
        <w:t>updated_at</w:t>
      </w:r>
      <w:r>
        <w:t>; con el typo nunca funcionaba. Renombrado.</w:t>
      </w:r>
    </w:p>
    <w:p>
      <w:pPr>
        <w:pStyle w:val="Heading3"/>
      </w:pPr>
      <w:r>
        <w:t xml:space="preserve">10. Catálogo </w:t>
      </w:r>
      <w:r>
        <w:rPr>
          <w:rFonts w:ascii="Consolas" w:hAnsi="Consolas"/>
          <w:color w:val="C7254E"/>
          <w:sz w:val="18"/>
        </w:rPr>
        <w:t>vital_types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CREATE TABLE vital_types (</w:t>
        <w:br/>
        <w:t xml:space="preserve">    code varchar(16) PRIMARY KEY,</w:t>
        <w:br/>
        <w:t xml:space="preserve">    label varchar(60) NOT NULL,</w:t>
        <w:br/>
        <w:t xml:space="preserve">    unit  varchar(10) NOT NULL DEFAULT '',</w:t>
        <w:br/>
        <w:t xml:space="preserve">    has_secondary boolean NOT NULL DEFAULT false</w:t>
        <w:br/>
        <w:t>);</w:t>
      </w:r>
    </w:p>
    <w:p>
      <w:r>
        <w:rPr>
          <w:rFonts w:ascii="Consolas" w:hAnsi="Consolas"/>
          <w:color w:val="C7254E"/>
          <w:sz w:val="18"/>
        </w:rPr>
        <w:t>vital_readings.type</w:t>
      </w:r>
      <w:r>
        <w:t xml:space="preserve"> y </w:t>
      </w:r>
      <w:r>
        <w:rPr>
          <w:rFonts w:ascii="Consolas" w:hAnsi="Consolas"/>
          <w:color w:val="C7254E"/>
          <w:sz w:val="18"/>
        </w:rPr>
        <w:t>vital_thresholds.type</w:t>
      </w:r>
      <w:r>
        <w:t xml:space="preserve"> ahora son FK a </w:t>
      </w:r>
      <w:r>
        <w:rPr>
          <w:rFonts w:ascii="Consolas" w:hAnsi="Consolas"/>
          <w:color w:val="C7254E"/>
          <w:sz w:val="18"/>
        </w:rPr>
        <w:t>vital_types.code</w:t>
      </w:r>
      <w:r>
        <w:t xml:space="preserve">. Fuente única de verdad; elimina el </w:t>
      </w:r>
      <w:r>
        <w:rPr>
          <w:rFonts w:ascii="Consolas" w:hAnsi="Consolas"/>
          <w:color w:val="C7254E"/>
          <w:sz w:val="18"/>
        </w:rPr>
        <w:t>CHECK</w:t>
      </w:r>
      <w:r>
        <w:t xml:space="preserve"> duplicado y el dict </w:t>
      </w:r>
      <w:r>
        <w:rPr>
          <w:rFonts w:ascii="Consolas" w:hAnsi="Consolas"/>
          <w:color w:val="C7254E"/>
          <w:sz w:val="18"/>
        </w:rPr>
        <w:t>UNITS</w:t>
      </w:r>
      <w:r>
        <w:t xml:space="preserve"> hardcodeado en </w:t>
      </w:r>
      <w:r>
        <w:rPr>
          <w:rFonts w:ascii="Consolas" w:hAnsi="Consolas"/>
          <w:color w:val="C7254E"/>
          <w:sz w:val="18"/>
        </w:rPr>
        <w:t>vitals.py</w:t>
      </w:r>
      <w:r>
        <w:t>.</w:t>
      </w:r>
    </w:p>
    <w:p>
      <w:pPr>
        <w:pStyle w:val="Heading3"/>
      </w:pPr>
      <w:r>
        <w:t xml:space="preserve">12. Trigger en </w:t>
      </w:r>
      <w:r>
        <w:rPr>
          <w:rFonts w:ascii="Consolas" w:hAnsi="Consolas"/>
          <w:color w:val="C7254E"/>
          <w:sz w:val="18"/>
        </w:rPr>
        <w:t>push_devices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CREATE TRIGGER tg_push_devices_updated_at</w:t>
        <w:br/>
        <w:t xml:space="preserve">    BEFORE UPDATE ON push_devices</w:t>
        <w:br/>
        <w:t xml:space="preserve">    FOR EACH ROW EXECUTE FUNCTION set_updated_at();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Excepciones documentadas (no se corrigen por diseño)</w:t>
      </w:r>
    </w:p>
    <w:p>
      <w:pPr>
        <w:pStyle w:val="Heading3"/>
      </w:pPr>
      <w:r>
        <w:t xml:space="preserve">8. </w:t>
      </w:r>
      <w:r>
        <w:rPr>
          <w:rFonts w:ascii="Consolas" w:hAnsi="Consolas"/>
          <w:color w:val="C7254E"/>
          <w:sz w:val="18"/>
        </w:rPr>
        <w:t>vital_readings</w:t>
      </w:r>
      <w:r>
        <w:t xml:space="preserve"> PK </w:t>
      </w:r>
      <w:r>
        <w:rPr>
          <w:rFonts w:ascii="Consolas" w:hAnsi="Consolas"/>
          <w:color w:val="C7254E"/>
          <w:sz w:val="18"/>
        </w:rPr>
        <w:t>(id, measured_at)</w:t>
      </w:r>
      <w:r>
        <w:t xml:space="preserve"> — excepción TÉCNICA</w:t>
      </w:r>
    </w:p>
    <w:p>
      <w:r>
        <w:t xml:space="preserve">PostgreSQL </w:t>
      </w:r>
      <w:r>
        <w:rPr>
          <w:b/>
        </w:rPr>
        <w:t>exige</w:t>
      </w:r>
      <w:r>
        <w:t xml:space="preserve"> que la columna de particionamiento (</w:t>
      </w:r>
      <w:r>
        <w:rPr>
          <w:rFonts w:ascii="Consolas" w:hAnsi="Consolas"/>
          <w:color w:val="C7254E"/>
          <w:sz w:val="18"/>
        </w:rPr>
        <w:t>measured_at</w:t>
      </w:r>
      <w:r>
        <w:t xml:space="preserve">) forme parte de la PK en tablas </w:t>
      </w:r>
      <w:r>
        <w:rPr>
          <w:rFonts w:ascii="Consolas" w:hAnsi="Consolas"/>
          <w:color w:val="C7254E"/>
          <w:sz w:val="18"/>
        </w:rPr>
        <w:t>PARTITION BY RANGE</w:t>
      </w:r>
      <w:r>
        <w:t xml:space="preserve">. En el modelo relacional puro la PK sería solo </w:t>
      </w:r>
      <w:r>
        <w:rPr>
          <w:rFonts w:ascii="Consolas" w:hAnsi="Consolas"/>
          <w:color w:val="C7254E"/>
          <w:sz w:val="18"/>
        </w:rPr>
        <w:t>id</w:t>
      </w:r>
      <w:r>
        <w:t>. Documentado en el constraint: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COMMENT ON CONSTRAINT pk_vital_readings ON vital_readings IS</w:t>
        <w:br/>
        <w:t xml:space="preserve">    'PK compuesta por requerimiento técnico de PostgreSQL para tablas</w:t>
        <w:br/>
        <w:t xml:space="preserve">     particionadas. No implica dependencia funcional en measured_at.';</w:t>
      </w:r>
    </w:p>
    <w:p>
      <w:pPr>
        <w:pStyle w:val="Heading3"/>
      </w:pPr>
      <w:r>
        <w:t xml:space="preserve">7 y 9. </w:t>
      </w:r>
      <w:r>
        <w:rPr>
          <w:rFonts w:ascii="Consolas" w:hAnsi="Consolas"/>
          <w:color w:val="C7254E"/>
          <w:sz w:val="18"/>
        </w:rPr>
        <w:t>alerts.payload</w:t>
      </w:r>
      <w:r>
        <w:t xml:space="preserve"> y </w:t>
      </w:r>
      <w:r>
        <w:rPr>
          <w:rFonts w:ascii="Consolas" w:hAnsi="Consolas"/>
          <w:color w:val="C7254E"/>
          <w:sz w:val="18"/>
        </w:rPr>
        <w:t>vital_readings.meta</w:t>
      </w:r>
      <w:r>
        <w:t xml:space="preserve"> — excepción JUSTIFICADA</w:t>
      </w:r>
    </w:p>
    <w:p>
      <w:r>
        <w:t xml:space="preserve">Son JSON de </w:t>
      </w:r>
      <w:r>
        <w:rPr>
          <w:b/>
        </w:rPr>
        <w:t>atributos variables</w:t>
      </w:r>
      <w:r>
        <w:t xml:space="preserve">: su estructura cambia según el tipo de alerta o el proveedor del wearable. Normalizarlos exigiría una tabla de detalle por cada tipo/proveedor, sin ganar integridad porque esos datos </w:t>
      </w:r>
      <w:r>
        <w:rPr>
          <w:b/>
        </w:rPr>
        <w:t>no se consultan ni se cruzan</w:t>
      </w:r>
      <w:r>
        <w:t>, solo se muestran. Documentado en cada columna como excepción a 1FN.</w:t>
      </w:r>
    </w:p>
    <w:p>
      <w:pPr>
        <w:pStyle w:val="Heading3"/>
      </w:pPr>
      <w:r>
        <w:t xml:space="preserve">3. </w:t>
      </w:r>
      <w:r>
        <w:rPr>
          <w:rFonts w:ascii="Consolas" w:hAnsi="Consolas"/>
          <w:color w:val="C7254E"/>
          <w:sz w:val="18"/>
        </w:rPr>
        <w:t>patients.rut_dv</w:t>
      </w:r>
      <w:r>
        <w:t xml:space="preserve"> — dato derivado documentado</w:t>
      </w:r>
    </w:p>
    <w:p>
      <w:r>
        <w:t xml:space="preserve">El dígito verificador se calcula desde </w:t>
      </w:r>
      <w:r>
        <w:rPr>
          <w:rFonts w:ascii="Consolas" w:hAnsi="Consolas"/>
          <w:color w:val="C7254E"/>
          <w:sz w:val="18"/>
        </w:rPr>
        <w:t>rut_number</w:t>
      </w:r>
      <w:r>
        <w:t xml:space="preserve"> por módulo 11. Se almacena por conveniencia de validación; documentado como derivado.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Archivos de código adaptados al nuevo esquema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Cambio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api/app/routers/auth.py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  <w:r>
              <w:t xml:space="preserve"> en register/login/get_me/patch_me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api/app/routers/patients.py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patient_conditions</w:t>
            </w:r>
            <w:r>
              <w:t>; nombre dividido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api/app/routers/medications.py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medication_times</w:t>
            </w:r>
            <w:r>
              <w:t>/</w:t>
            </w:r>
            <w:r>
              <w:rPr>
                <w:rFonts w:ascii="Consolas" w:hAnsi="Consolas"/>
                <w:color w:val="C7254E"/>
                <w:sz w:val="18"/>
              </w:rPr>
              <w:t>medication_days</w:t>
            </w:r>
            <w:r>
              <w:t xml:space="preserve">; dosis sin </w:t>
            </w:r>
            <w:r>
              <w:rPr>
                <w:rFonts w:ascii="Consolas" w:hAnsi="Consolas"/>
                <w:color w:val="C7254E"/>
                <w:sz w:val="18"/>
              </w:rPr>
              <w:t>patient_id</w:t>
            </w:r>
            <w:r>
              <w:t xml:space="preserve"> (JOIN)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api/app/routers/vitals.py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UNITS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_get_unit()</w:t>
            </w:r>
            <w:r>
              <w:t xml:space="preserve"> desde </w:t>
            </w:r>
            <w:r>
              <w:rPr>
                <w:rFonts w:ascii="Consolas" w:hAnsi="Consolas"/>
                <w:color w:val="C7254E"/>
                <w:sz w:val="18"/>
              </w:rPr>
              <w:t>vital_types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8"/>
              </w:rPr>
              <w:t>_medications_today</w:t>
            </w:r>
            <w:r>
              <w:t xml:space="preserve"> con JOIN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sql/900_seed_dev.sql</w:t>
            </w:r>
          </w:p>
        </w:tc>
        <w:tc>
          <w:tcPr>
            <w:tcW w:type="dxa" w:w="4320"/>
          </w:tcPr>
          <w:p>
            <w:r/>
            <w:r>
              <w:t>Datos de demo reescritos al esquema normalizado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front/test.html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api/app/static/test.html</w:t>
            </w:r>
          </w:p>
        </w:tc>
        <w:tc>
          <w:tcPr>
            <w:tcW w:type="dxa" w:w="4320"/>
          </w:tcPr>
          <w:p>
            <w:r/>
            <w:r>
              <w:t xml:space="preserve">Formularios usan </w:t>
            </w:r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>/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TESTING.md</w:t>
            </w:r>
          </w:p>
        </w:tc>
        <w:tc>
          <w:tcPr>
            <w:tcW w:type="dxa" w:w="4320"/>
          </w:tcPr>
          <w:p>
            <w:r/>
            <w:r>
              <w:t>Ejemplos JSON actualizados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Orden de ejecución de los scripts (importante)</w:t>
      </w:r>
    </w:p>
    <w:p>
      <w:r>
        <w:t xml:space="preserve">Los </w:t>
      </w:r>
      <w:r>
        <w:rPr>
          <w:rFonts w:ascii="Consolas" w:hAnsi="Consolas"/>
          <w:color w:val="C7254E"/>
          <w:sz w:val="18"/>
        </w:rPr>
        <w:t>.sql</w:t>
      </w:r>
      <w:r>
        <w:t xml:space="preserve"> corren en orden alfabético. El catálogo </w:t>
      </w:r>
      <w:r>
        <w:rPr>
          <w:rFonts w:ascii="Consolas" w:hAnsi="Consolas"/>
          <w:color w:val="C7254E"/>
          <w:sz w:val="18"/>
        </w:rPr>
        <w:t>vital_types</w:t>
      </w:r>
      <w:r>
        <w:t xml:space="preserve"> (</w:t>
      </w:r>
      <w:r>
        <w:rPr>
          <w:rFonts w:ascii="Consolas" w:hAnsi="Consolas"/>
          <w:color w:val="C7254E"/>
          <w:sz w:val="18"/>
        </w:rPr>
        <w:t>200_</w:t>
      </w:r>
      <w:r>
        <w:t xml:space="preserve">) </w:t>
      </w:r>
      <w:r>
        <w:rPr>
          <w:b/>
        </w:rPr>
        <w:t>debe</w:t>
      </w:r>
      <w:r>
        <w:t xml:space="preserve"> ejecutarse</w:t>
      </w:r>
    </w:p>
    <w:p>
      <w:r>
        <w:t xml:space="preserve">antes de </w:t>
      </w:r>
      <w:r>
        <w:rPr>
          <w:rFonts w:ascii="Consolas" w:hAnsi="Consolas"/>
          <w:color w:val="C7254E"/>
          <w:sz w:val="18"/>
        </w:rPr>
        <w:t>vital_readings</w:t>
      </w:r>
      <w:r>
        <w:t xml:space="preserve"> (</w:t>
      </w:r>
      <w:r>
        <w:rPr>
          <w:rFonts w:ascii="Consolas" w:hAnsi="Consolas"/>
          <w:color w:val="C7254E"/>
          <w:sz w:val="18"/>
        </w:rPr>
        <w:t>202_</w:t>
      </w:r>
      <w:r>
        <w:t xml:space="preserve">) y </w:t>
      </w:r>
      <w:r>
        <w:rPr>
          <w:rFonts w:ascii="Consolas" w:hAnsi="Consolas"/>
          <w:color w:val="C7254E"/>
          <w:sz w:val="18"/>
        </w:rPr>
        <w:t>vital_thresholds</w:t>
      </w:r>
      <w:r>
        <w:t xml:space="preserve"> (</w:t>
      </w:r>
      <w:r>
        <w:rPr>
          <w:rFonts w:ascii="Consolas" w:hAnsi="Consolas"/>
          <w:color w:val="C7254E"/>
          <w:sz w:val="18"/>
        </w:rPr>
        <w:t>203_</w:t>
      </w:r>
      <w:r>
        <w:t>) porque ambos lo referencian</w:t>
      </w:r>
    </w:p>
    <w:p>
      <w:r>
        <w:t>por FK. El orden actual lo garantiza: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001_base → 101_users → … → 106_invitations →</w:t>
        <w:br/>
        <w:t>200_vital_types → 201_wearables → 202_vital_readings → 203_vital_thresholds →</w:t>
        <w:br/>
        <w:t>301_medications → 302_scheduled_doses → 401_alerts → … → 900_seed_dev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Lo que ya estaba bien</w:t>
      </w:r>
    </w:p>
    <w:p>
      <w:pPr>
        <w:pStyle w:val="ListBullet"/>
      </w:pPr>
      <w:r>
        <w:t>Todas las tablas tienen PK (</w:t>
      </w:r>
      <w:r>
        <w:rPr>
          <w:rFonts w:ascii="Consolas" w:hAnsi="Consolas"/>
          <w:color w:val="C7254E"/>
          <w:sz w:val="18"/>
        </w:rPr>
        <w:t>uuid</w:t>
      </w:r>
      <w:r>
        <w:t>). ✅</w:t>
      </w:r>
    </w:p>
    <w:p>
      <w:pPr>
        <w:pStyle w:val="ListBullet"/>
      </w:pPr>
      <w:r>
        <w:t>Foreign keys con política de conservación (</w:t>
      </w:r>
      <w:r>
        <w:rPr>
          <w:rFonts w:ascii="Consolas" w:hAnsi="Consolas"/>
          <w:color w:val="C7254E"/>
          <w:sz w:val="18"/>
        </w:rPr>
        <w:t>ON DELETE RESTRICT</w:t>
      </w:r>
      <w:r>
        <w:t>, sin borrado físico). ✅</w:t>
      </w:r>
    </w:p>
    <w:p>
      <w:pPr>
        <w:pStyle w:val="ListBullet"/>
      </w:pPr>
      <w:r>
        <w:t>Índices parciales (</w:t>
      </w:r>
      <w:r>
        <w:rPr>
          <w:rFonts w:ascii="Consolas" w:hAnsi="Consolas"/>
          <w:color w:val="C7254E"/>
          <w:sz w:val="18"/>
        </w:rPr>
        <w:t>WHERE deleted_at IS NULL</w:t>
      </w:r>
      <w:r>
        <w:t>) correctos. ✅</w:t>
      </w:r>
    </w:p>
    <w:p>
      <w:pPr>
        <w:pStyle w:val="ListBullet"/>
      </w:pPr>
      <w:r>
        <w:t>Soft-delete en registros clínicos. ✅</w:t>
      </w:r>
    </w:p>
    <w:p>
      <w:pPr>
        <w:pStyle w:val="ListBullet"/>
      </w:pPr>
      <w:r>
        <w:t xml:space="preserve">Partición mensual de </w:t>
      </w:r>
      <w:r>
        <w:rPr>
          <w:rFonts w:ascii="Consolas" w:hAnsi="Consolas"/>
          <w:color w:val="C7254E"/>
          <w:sz w:val="18"/>
        </w:rPr>
        <w:t>vital_readings</w:t>
      </w:r>
      <w:r>
        <w:t xml:space="preserve"> justificada por volumen (RNF-07). ✅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