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AgeCare — Modelo de Datos Definitivo</w:t>
      </w:r>
    </w:p>
    <w:p>
      <w:r>
        <w:rPr>
          <w:b/>
        </w:rPr>
        <w:t>Proyecto APT · Capstone PTY4614 · DUOC UC — Sede San Andrés</w:t>
      </w:r>
    </w:p>
    <w:p>
      <w:r>
        <w:rPr>
          <w:b/>
        </w:rPr>
        <w:t>Equipo:</w:t>
      </w:r>
      <w:r>
        <w:t xml:space="preserve"> Javier Cerna Chávez · Benjamín Camus · Juan Mora</w:t>
      </w:r>
    </w:p>
    <w:p>
      <w:r>
        <w:rPr>
          <w:b/>
        </w:rPr>
        <w:t>Metodología:</w:t>
      </w:r>
      <w:r>
        <w:t xml:space="preserve"> Enfoque Tradicional (Cascada) · </w:t>
      </w:r>
      <w:r>
        <w:rPr>
          <w:b/>
        </w:rPr>
        <w:t>Entrega:</w:t>
      </w:r>
      <w:r>
        <w:t xml:space="preserve"> 04 de octubre (avance Fase 2)</w:t>
      </w:r>
    </w:p>
    <w:p>
      <w:r>
        <w:rPr>
          <w:b/>
        </w:rPr>
        <w:t>Motor:</w:t>
      </w:r>
      <w:r>
        <w:t xml:space="preserve"> PostgreSQL 16 · Modelo relacional normalizado hasta 2FN (excepciones técnicas documentadas)</w:t>
      </w:r>
    </w:p>
    <w:p>
      <w:r>
        <w:rPr>
          <w:b/>
        </w:rPr>
        <w:t>Scripts fuente:</w:t>
      </w:r>
      <w:r>
        <w:t xml:space="preserve"> </w:t>
      </w:r>
      <w:r>
        <w:rPr>
          <w:rFonts w:ascii="Consolas" w:hAnsi="Consolas"/>
          <w:color w:val="C7254E"/>
          <w:sz w:val="18"/>
        </w:rPr>
        <w:t>sql/001_base.sql</w:t>
      </w:r>
      <w:r>
        <w:t xml:space="preserve"> … </w:t>
      </w:r>
      <w:r>
        <w:rPr>
          <w:rFonts w:ascii="Consolas" w:hAnsi="Consolas"/>
          <w:color w:val="C7254E"/>
          <w:sz w:val="18"/>
        </w:rPr>
        <w:t>sql/501_subscriptions.sql</w:t>
      </w:r>
      <w:r>
        <w:t xml:space="preserve"> + </w:t>
      </w:r>
      <w:r>
        <w:rPr>
          <w:rFonts w:ascii="Consolas" w:hAnsi="Consolas"/>
          <w:color w:val="C7254E"/>
          <w:sz w:val="18"/>
        </w:rPr>
        <w:t>sql/900_seed_dev.sql</w:t>
      </w:r>
    </w:p>
    <w:p>
      <w:r>
        <w:rPr>
          <w:b/>
        </w:rPr>
        <w:t>Script consolidado:</w:t>
      </w:r>
      <w:r>
        <w:t xml:space="preserve"> </w:t>
      </w:r>
      <w:r>
        <w:rPr>
          <w:rFonts w:ascii="Consolas" w:hAnsi="Consolas"/>
          <w:color w:val="C7254E"/>
          <w:sz w:val="18"/>
        </w:rPr>
        <w:t>sql/schema/000_schema_completo.sql</w:t>
      </w:r>
      <w:r>
        <w:t xml:space="preserve"> (todo el esquema en un solo archivo ejecutable)</w:t>
      </w:r>
    </w:p>
    <w:p>
      <w:r>
        <w:rPr>
          <w:b/>
        </w:rPr>
        <w:t>Diagramas ER:</w:t>
      </w:r>
      <w:r>
        <w:t xml:space="preserve"> </w:t>
      </w:r>
      <w:r>
        <w:rPr>
          <w:rFonts w:ascii="Consolas" w:hAnsi="Consolas"/>
          <w:color w:val="C7254E"/>
          <w:sz w:val="18"/>
        </w:rPr>
        <w:t>docs/ER_AgeCare.dbml</w:t>
      </w:r>
      <w:r>
        <w:t xml:space="preserve"> (dbdiagram.io → PNG/PDF) · </w:t>
      </w:r>
      <w:r>
        <w:rPr>
          <w:rFonts w:ascii="Consolas" w:hAnsi="Consolas"/>
          <w:color w:val="C7254E"/>
          <w:sz w:val="18"/>
        </w:rPr>
        <w:t>docs/ER_AgeCare_Mermaid.md</w:t>
      </w:r>
      <w:r>
        <w:t xml:space="preserve"> (se renderiza en GitHub)</w:t>
      </w:r>
    </w:p>
    <w:p>
      <w:r>
        <w:rPr>
          <w:b/>
        </w:rPr>
        <w:t>Análisis de realidad:</w:t>
      </w:r>
      <w:r>
        <w:t xml:space="preserve"> </w:t>
      </w:r>
      <w:r>
        <w:rPr>
          <w:rFonts w:ascii="Consolas" w:hAnsi="Consolas"/>
          <w:color w:val="C7254E"/>
          <w:sz w:val="18"/>
        </w:rPr>
        <w:t>docs/04_Analisis_de_Realidad_y_Decisiones.md</w:t>
      </w:r>
      <w:r>
        <w:t xml:space="preserve"> (escenarios del mundo real y decisiones de diseño)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1. Propósito y alcance</w:t>
      </w:r>
    </w:p>
    <w:p>
      <w:r>
        <w:t xml:space="preserve">Este documento presenta el </w:t>
      </w:r>
      <w:r>
        <w:rPr>
          <w:b/>
        </w:rPr>
        <w:t>modelo de datos definitivo</w:t>
      </w:r>
      <w:r>
        <w:t xml:space="preserve"> del núcleo de salud de AgeCare, como</w:t>
      </w:r>
    </w:p>
    <w:p>
      <w:r>
        <w:t>evidencia del avance de Fase 2 comprometido para el 04 de octubre. El modelo da soporte físico</w:t>
      </w:r>
    </w:p>
    <w:p>
      <w:r>
        <w:t>a los requisitos del ERS correspondientes a autenticación, pacientes y círculo de cuidado,</w:t>
      </w:r>
    </w:p>
    <w:p>
      <w:r>
        <w:t>signos vitales, medicamentos y adherencia, y alertas/emergencias (**RF-01 a RF-33 y RF-44 a</w:t>
      </w:r>
    </w:p>
    <w:p>
      <w:r>
        <w:t>RF-52**), junto con los requisitos no funcionales de rendimiento, escalabilidad, seguridad y</w:t>
      </w:r>
    </w:p>
    <w:p>
      <w:r>
        <w:t>mantenibilidad asociados.</w:t>
      </w:r>
    </w:p>
    <w:p>
      <w:r>
        <w:t xml:space="preserve">El diseño es íntegramente </w:t>
      </w:r>
      <w:r>
        <w:rPr>
          <w:b/>
        </w:rPr>
        <w:t>relacional en PostgreSQL</w:t>
      </w:r>
      <w:r>
        <w:t xml:space="preserve"> (no existe persistencia documental ni</w:t>
      </w:r>
    </w:p>
    <w:p>
      <w:r>
        <w:t xml:space="preserve">NoSQL): los pocos campos </w:t>
      </w:r>
      <w:r>
        <w:rPr>
          <w:rFonts w:ascii="Consolas" w:hAnsi="Consolas"/>
          <w:color w:val="C7254E"/>
          <w:sz w:val="18"/>
        </w:rPr>
        <w:t>jsonb</w:t>
      </w:r>
      <w:r>
        <w:t xml:space="preserve"> que persisten corresponden a atributos variables documentados</w:t>
      </w:r>
    </w:p>
    <w:p>
      <w:r>
        <w:t>como excepción. El equipo construyó las 24 tablas en este repositorio como consultores/</w:t>
      </w:r>
    </w:p>
    <w:p>
      <w:r>
        <w:t>desarrolladores sobre la especificación de Alloxentric.</w:t>
      </w:r>
    </w:p>
    <w:p>
      <w:r>
        <w:t>A las tablas del núcleo se suman cuatro tablas transversales derivadas del **análisis de</w:t>
      </w:r>
    </w:p>
    <w:p>
      <w:r>
        <w:t xml:space="preserve">realidad** (ver documento 04): </w:t>
      </w:r>
      <w:r>
        <w:rPr>
          <w:rFonts w:ascii="Consolas" w:hAnsi="Consolas"/>
          <w:color w:val="C7254E"/>
          <w:sz w:val="18"/>
        </w:rPr>
        <w:t>audit_log</w:t>
      </w:r>
      <w:r>
        <w:t xml:space="preserve"> (trazabilidad clínica inmutable), </w:t>
      </w:r>
      <w:r>
        <w:rPr>
          <w:rFonts w:ascii="Consolas" w:hAnsi="Consolas"/>
          <w:color w:val="C7254E"/>
          <w:sz w:val="18"/>
        </w:rPr>
        <w:t>system_parameters</w:t>
      </w:r>
    </w:p>
    <w:p>
      <w:r>
        <w:t xml:space="preserve">(umbrales de negocio configurables), </w:t>
      </w:r>
      <w:r>
        <w:rPr>
          <w:rFonts w:ascii="Consolas" w:hAnsi="Consolas"/>
          <w:color w:val="C7254E"/>
          <w:sz w:val="18"/>
        </w:rPr>
        <w:t>wellbeing_snapshots</w:t>
      </w:r>
      <w:r>
        <w:t xml:space="preserve"> (historial del semáforo) y</w:t>
      </w:r>
    </w:p>
    <w:p>
      <w:r>
        <w:rPr>
          <w:rFonts w:ascii="Consolas" w:hAnsi="Consolas"/>
          <w:color w:val="C7254E"/>
          <w:sz w:val="18"/>
        </w:rPr>
        <w:t>subscriptions</w:t>
      </w:r>
      <w:r>
        <w:t xml:space="preserve"> (modelo freemium).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2. Bloques del modelo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Tablas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RF que soporta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 · Identidad y acceso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users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refresh_tokens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push_devices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patients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patient_conditions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patient_members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invitations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audit_log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system_parameters</w:t>
            </w:r>
          </w:p>
        </w:tc>
        <w:tc>
          <w:tcPr>
            <w:tcW w:type="dxa" w:w="2880"/>
          </w:tcPr>
          <w:p>
            <w:r/>
            <w:r>
              <w:t>RF-01…16, RNF-14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 · Vitals y wearable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vital_types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wearables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vital_readings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vital_thresholds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wellbeing_snapshots</w:t>
            </w:r>
          </w:p>
        </w:tc>
        <w:tc>
          <w:tcPr>
            <w:tcW w:type="dxa" w:w="2880"/>
          </w:tcPr>
          <w:p>
            <w:r/>
            <w:r>
              <w:t>RF-15…23, RF-44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 · Medicación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medications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medication_times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medication_days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scheduled_doses</w:t>
            </w:r>
          </w:p>
        </w:tc>
        <w:tc>
          <w:tcPr>
            <w:tcW w:type="dxa" w:w="2880"/>
          </w:tcPr>
          <w:p>
            <w:r/>
            <w:r>
              <w:t>RF-24…33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 · Alertas y emergencias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alerts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alert_deliveries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notification_settings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emergency_contacts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sos_events</w:t>
            </w:r>
          </w:p>
        </w:tc>
        <w:tc>
          <w:tcPr>
            <w:tcW w:type="dxa" w:w="2880"/>
          </w:tcPr>
          <w:p>
            <w:r/>
            <w:r>
              <w:t>RF-44…52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5 · Negocio (freemium)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subscriptions</w:t>
            </w:r>
          </w:p>
        </w:tc>
        <w:tc>
          <w:tcPr>
            <w:tcW w:type="dxa" w:w="2880"/>
          </w:tcPr>
          <w:p>
            <w:r/>
            <w:r>
              <w:t>RF-73</w:t>
            </w:r>
          </w:p>
        </w:tc>
      </w:tr>
    </w:tbl>
    <w:p/>
    <w:p>
      <w:r>
        <w:rPr>
          <w:b/>
        </w:rPr>
        <w:t>Total: 24 tablas</w:t>
      </w:r>
      <w:r>
        <w:t xml:space="preserve"> + función compartida </w:t>
      </w:r>
      <w:r>
        <w:rPr>
          <w:rFonts w:ascii="Consolas" w:hAnsi="Consolas"/>
          <w:color w:val="C7254E"/>
          <w:sz w:val="18"/>
        </w:rPr>
        <w:t>set_updated_at()</w:t>
      </w:r>
      <w:r>
        <w:t xml:space="preserve"> + función de particionado + trigger de inmutabilidad de auditoría.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3. Diagrama de relaciones (texto)</w:t>
      </w:r>
    </w:p>
    <w:p>
      <w:pPr>
        <w:ind w:left="288"/>
        <w:shd w:val="clear" w:fill="F2F2F2"/>
      </w:pPr>
      <w:r>
        <w:rPr>
          <w:rFonts w:ascii="Consolas" w:hAnsi="Consolas"/>
          <w:color w:val="1E1E1E"/>
          <w:sz w:val="17"/>
        </w:rPr>
        <w:t>users ──1:N── refresh_tokens</w:t>
        <w:br/>
        <w:t xml:space="preserve">  │   ├─1:N── push_devices</w:t>
        <w:br/>
        <w:t xml:space="preserve">  │   ├─1:N── patient_members ──N:1── patients</w:t>
        <w:br/>
        <w:t xml:space="preserve">  │   ├─1:N── notification_settings</w:t>
        <w:br/>
        <w:t xml:space="preserve">  │   └─ (invited_by / accepted_by) ── invitations</w:t>
        <w:br/>
        <w:br/>
        <w:t>patients ──1:N── patient_conditions</w:t>
        <w:br/>
        <w:t xml:space="preserve">  │   ├─1:N── patient_members          (centro del control de acceso, RNF-12)</w:t>
        <w:br/>
        <w:t xml:space="preserve">  │   ├─1:N── invitations</w:t>
        <w:br/>
        <w:t xml:space="preserve">  │   ├─1:N── wearables</w:t>
        <w:br/>
        <w:t xml:space="preserve">  │   ├─1:N── vital_readings ──N:1── vital_types</w:t>
        <w:br/>
        <w:t xml:space="preserve">  │   ├─1:N── vital_thresholds ──N:1── vital_types</w:t>
        <w:br/>
        <w:t xml:space="preserve">  │   ├─1:N── medications ──1:N── medication_times</w:t>
        <w:br/>
        <w:t xml:space="preserve">  │   │                     └─1:N── medication_days</w:t>
        <w:br/>
        <w:t xml:space="preserve">  │   ├─1:N── alerts</w:t>
        <w:br/>
        <w:t xml:space="preserve">  │   ├─1:N── emergency_contacts</w:t>
        <w:br/>
        <w:t xml:space="preserve">  │   └─1:N── sos_events</w:t>
        <w:br/>
        <w:br/>
        <w:t>medications ──1:N── scheduled_doses ──(logged_by)── users</w:t>
        <w:br/>
        <w:t>alerts ──1:N── alert_deliveries ──N:1── users / push_devices</w:t>
        <w:br/>
        <w:t>alerts ──1:1── sos_events</w:t>
      </w:r>
    </w:p>
    <w:p>
      <w:r>
        <w:rPr>
          <w:b/>
        </w:rPr>
        <w:t>Regla transversal (RNF-12):</w:t>
      </w:r>
      <w:r>
        <w:t xml:space="preserve"> toda consulta al expediente se valida contra</w:t>
      </w:r>
    </w:p>
    <w:p>
      <w:r>
        <w:rPr>
          <w:rFonts w:ascii="Consolas" w:hAnsi="Consolas"/>
          <w:color w:val="C7254E"/>
          <w:sz w:val="18"/>
        </w:rPr>
        <w:t>patient_members</w:t>
      </w:r>
      <w:r>
        <w:t xml:space="preserve"> (membresía vigente + rol). Ocultar la opción en la interfaz no se considera</w:t>
      </w:r>
    </w:p>
    <w:p>
      <w:r>
        <w:t>control de acceso.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4. Tablas y su correspondencia con el ERS</w:t>
      </w:r>
    </w:p>
    <w:p>
      <w:pPr>
        <w:pStyle w:val="Heading3"/>
      </w:pPr>
      <w:r>
        <w:t>Bloque 1 — Identidad y acceso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users</w:t>
            </w:r>
          </w:p>
        </w:tc>
        <w:tc>
          <w:tcPr>
            <w:tcW w:type="dxa" w:w="2880"/>
          </w:tcPr>
          <w:p>
            <w:r/>
            <w:r>
              <w:t xml:space="preserve">Cuentas. </w:t>
            </w:r>
            <w:r>
              <w:rPr>
                <w:rFonts w:ascii="Consolas" w:hAnsi="Consolas"/>
                <w:color w:val="C7254E"/>
                <w:sz w:val="18"/>
              </w:rPr>
              <w:t>first_name</w:t>
            </w:r>
            <w:r>
              <w:t>+</w:t>
            </w:r>
            <w:r>
              <w:rPr>
                <w:rFonts w:ascii="Consolas" w:hAnsi="Consolas"/>
                <w:color w:val="C7254E"/>
                <w:sz w:val="18"/>
              </w:rPr>
              <w:t>last_name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full_name</w:t>
            </w:r>
            <w:r>
              <w:t xml:space="preserve"> GENERATED. </w:t>
            </w:r>
            <w:r>
              <w:rPr>
                <w:rFonts w:ascii="Consolas" w:hAnsi="Consolas"/>
                <w:color w:val="C7254E"/>
                <w:sz w:val="18"/>
              </w:rPr>
              <w:t>password_hash</w:t>
            </w:r>
            <w:r>
              <w:t xml:space="preserve"> (RNF-10). Soft delete.</w:t>
            </w:r>
          </w:p>
        </w:tc>
        <w:tc>
          <w:tcPr>
            <w:tcW w:type="dxa" w:w="2880"/>
          </w:tcPr>
          <w:p>
            <w:r/>
            <w:r>
              <w:t>RF-01, RF-06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refresh_tokens</w:t>
            </w:r>
          </w:p>
        </w:tc>
        <w:tc>
          <w:tcPr>
            <w:tcW w:type="dxa" w:w="2880"/>
          </w:tcPr>
          <w:p>
            <w:r/>
            <w:r>
              <w:t xml:space="preserve">Sesiones; hash del token, </w:t>
            </w:r>
            <w:r>
              <w:rPr>
                <w:rFonts w:ascii="Consolas" w:hAnsi="Consolas"/>
                <w:color w:val="C7254E"/>
                <w:sz w:val="18"/>
              </w:rPr>
              <w:t>family_id</w:t>
            </w:r>
            <w:r>
              <w:t xml:space="preserve"> para revocación rotatoria (RNF-11).</w:t>
            </w:r>
          </w:p>
        </w:tc>
        <w:tc>
          <w:tcPr>
            <w:tcW w:type="dxa" w:w="2880"/>
          </w:tcPr>
          <w:p>
            <w:r/>
            <w:r>
              <w:t>RF-02…05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push_devices</w:t>
            </w:r>
          </w:p>
        </w:tc>
        <w:tc>
          <w:tcPr>
            <w:tcW w:type="dxa" w:w="2880"/>
          </w:tcPr>
          <w:p>
            <w:r/>
            <w:r>
              <w:t xml:space="preserve">Dispositivos para notificaciones; </w:t>
            </w:r>
            <w:r>
              <w:rPr>
                <w:rFonts w:ascii="Consolas" w:hAnsi="Consolas"/>
                <w:color w:val="C7254E"/>
                <w:sz w:val="18"/>
              </w:rPr>
              <w:t>push_token</w:t>
            </w:r>
            <w:r>
              <w:t xml:space="preserve"> único.</w:t>
            </w:r>
          </w:p>
        </w:tc>
        <w:tc>
          <w:tcPr>
            <w:tcW w:type="dxa" w:w="2880"/>
          </w:tcPr>
          <w:p>
            <w:r/>
            <w:r>
              <w:t>RF-07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patients</w:t>
            </w:r>
          </w:p>
        </w:tc>
        <w:tc>
          <w:tcPr>
            <w:tcW w:type="dxa" w:w="2880"/>
          </w:tcPr>
          <w:p>
            <w:r/>
            <w:r>
              <w:t xml:space="preserve">Adultos mayores (no son usuarios). </w:t>
            </w:r>
            <w:r>
              <w:rPr>
                <w:rFonts w:ascii="Consolas" w:hAnsi="Consolas"/>
                <w:color w:val="C7254E"/>
                <w:sz w:val="18"/>
              </w:rPr>
              <w:t>rut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timezone</w:t>
            </w:r>
            <w:r>
              <w:t>, soft delete.</w:t>
            </w:r>
          </w:p>
        </w:tc>
        <w:tc>
          <w:tcPr>
            <w:tcW w:type="dxa" w:w="2880"/>
          </w:tcPr>
          <w:p>
            <w:r/>
            <w:r>
              <w:t>RF-08…10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patient_conditions</w:t>
            </w:r>
          </w:p>
        </w:tc>
        <w:tc>
          <w:tcPr>
            <w:tcW w:type="dxa" w:w="2880"/>
          </w:tcPr>
          <w:p>
            <w:r/>
            <w:r>
              <w:t>Condiciones médicas (1FN; reemplaza arreglo JSON).</w:t>
            </w:r>
          </w:p>
        </w:tc>
        <w:tc>
          <w:tcPr>
            <w:tcW w:type="dxa" w:w="2880"/>
          </w:tcPr>
          <w:p>
            <w:r/>
            <w:r>
              <w:t>RF-08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patient_members</w:t>
            </w:r>
          </w:p>
        </w:tc>
        <w:tc>
          <w:tcPr>
            <w:tcW w:type="dxa" w:w="2880"/>
          </w:tcPr>
          <w:p>
            <w:r/>
            <w:r>
              <w:t xml:space="preserve">Vínculo usuario↔paciente con rol; </w:t>
            </w:r>
            <w:r>
              <w:rPr>
                <w:rFonts w:ascii="Consolas" w:hAnsi="Consolas"/>
                <w:color w:val="C7254E"/>
                <w:sz w:val="18"/>
              </w:rPr>
              <w:t>is_owner</w:t>
            </w:r>
            <w:r>
              <w:t>. Control de acceso.</w:t>
            </w:r>
          </w:p>
        </w:tc>
        <w:tc>
          <w:tcPr>
            <w:tcW w:type="dxa" w:w="2880"/>
          </w:tcPr>
          <w:p>
            <w:r/>
            <w:r>
              <w:t>RF-11…14, RF-12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invitations</w:t>
            </w:r>
          </w:p>
        </w:tc>
        <w:tc>
          <w:tcPr>
            <w:tcW w:type="dxa" w:w="2880"/>
          </w:tcPr>
          <w:p>
            <w:r/>
            <w:r>
              <w:t>Invitaciones por correo; token hasheado con vencimiento.</w:t>
            </w:r>
          </w:p>
        </w:tc>
        <w:tc>
          <w:tcPr>
            <w:tcW w:type="dxa" w:w="2880"/>
          </w:tcPr>
          <w:p>
            <w:r/>
            <w:r>
              <w:t>RF-11, RF-13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/>
            <w:r>
              <w:t>Registro inmutable (append-only) de accesos y cambios clínicos; trigger bloquea UPDATE/DELETE.</w:t>
            </w:r>
          </w:p>
        </w:tc>
        <w:tc>
          <w:tcPr>
            <w:tcW w:type="dxa" w:w="2880"/>
          </w:tcPr>
          <w:p>
            <w:r/>
            <w:r>
              <w:t>RNF-14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system_parameters</w:t>
            </w:r>
          </w:p>
        </w:tc>
        <w:tc>
          <w:tcPr>
            <w:tcW w:type="dxa" w:w="2880"/>
          </w:tcPr>
          <w:p>
            <w:r/>
            <w:r>
              <w:t>Catálogo de umbrales de negocio configurables (fuera del código).</w:t>
            </w:r>
          </w:p>
        </w:tc>
        <w:tc>
          <w:tcPr>
            <w:tcW w:type="dxa" w:w="2880"/>
          </w:tcPr>
          <w:p>
            <w:r/>
            <w:r>
              <w:t>RF-33, RF-52, RNF-11, RNF-13</w:t>
            </w:r>
          </w:p>
        </w:tc>
      </w:tr>
    </w:tbl>
    <w:p/>
    <w:p>
      <w:pPr>
        <w:pStyle w:val="Heading3"/>
      </w:pPr>
      <w:r>
        <w:t>Bloque 2 — Vitals y wearable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vital_types</w:t>
            </w:r>
          </w:p>
        </w:tc>
        <w:tc>
          <w:tcPr>
            <w:tcW w:type="dxa" w:w="2880"/>
          </w:tcPr>
          <w:p>
            <w:r/>
            <w:r>
              <w:t>Catálogo de tipos de signos vitales (fuente única de verdad).</w:t>
            </w:r>
          </w:p>
        </w:tc>
        <w:tc>
          <w:tcPr>
            <w:tcW w:type="dxa" w:w="2880"/>
          </w:tcPr>
          <w:p>
            <w:r/>
            <w:r>
              <w:t>RF-17…21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wearables</w:t>
            </w:r>
          </w:p>
        </w:tc>
        <w:tc>
          <w:tcPr>
            <w:tcW w:type="dxa" w:w="2880"/>
          </w:tcPr>
          <w:p>
            <w:r/>
            <w:r>
              <w:t xml:space="preserve">Dispositivo vinculado; </w:t>
            </w:r>
            <w:r>
              <w:rPr>
                <w:rFonts w:ascii="Consolas" w:hAnsi="Consolas"/>
                <w:color w:val="C7254E"/>
                <w:sz w:val="18"/>
              </w:rPr>
              <w:t>last_sync_at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battery_pct</w:t>
            </w:r>
            <w:r>
              <w:t>.</w:t>
            </w:r>
          </w:p>
        </w:tc>
        <w:tc>
          <w:tcPr>
            <w:tcW w:type="dxa" w:w="2880"/>
          </w:tcPr>
          <w:p>
            <w:r/>
            <w:r>
              <w:t>RF-15, RF-16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vital_readings</w:t>
            </w:r>
          </w:p>
        </w:tc>
        <w:tc>
          <w:tcPr>
            <w:tcW w:type="dxa" w:w="2880"/>
          </w:tcPr>
          <w:p>
            <w:r/>
            <w:r>
              <w:t>Mediciones; particionada por mes (RNF-07); idempotente (RNF-08); CHECK de cordura de valores.</w:t>
            </w:r>
          </w:p>
        </w:tc>
        <w:tc>
          <w:tcPr>
            <w:tcW w:type="dxa" w:w="2880"/>
          </w:tcPr>
          <w:p>
            <w:r/>
            <w:r>
              <w:t>RF-17…20, RF-22, RF-44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vital_thresholds</w:t>
            </w:r>
          </w:p>
        </w:tc>
        <w:tc>
          <w:tcPr>
            <w:tcW w:type="dxa" w:w="2880"/>
          </w:tcPr>
          <w:p>
            <w:r/>
            <w:r>
              <w:t>Rango normal por paciente y tipo.</w:t>
            </w:r>
          </w:p>
        </w:tc>
        <w:tc>
          <w:tcPr>
            <w:tcW w:type="dxa" w:w="2880"/>
          </w:tcPr>
          <w:p>
            <w:r/>
            <w:r>
              <w:t>RF-21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wellbeing_snapshots</w:t>
            </w:r>
          </w:p>
        </w:tc>
        <w:tc>
          <w:tcPr>
            <w:tcW w:type="dxa" w:w="2880"/>
          </w:tcPr>
          <w:p>
            <w:r/>
            <w:r>
              <w:t>Fotografía diaria del semáforo (historiza el indicador que antes se calculaba al vuelo).</w:t>
            </w:r>
          </w:p>
        </w:tc>
        <w:tc>
          <w:tcPr>
            <w:tcW w:type="dxa" w:w="2880"/>
          </w:tcPr>
          <w:p>
            <w:r/>
            <w:r>
              <w:t>RF-22</w:t>
            </w:r>
          </w:p>
        </w:tc>
      </w:tr>
    </w:tbl>
    <w:p/>
    <w:p>
      <w:pPr>
        <w:pStyle w:val="Heading3"/>
      </w:pPr>
      <w:r>
        <w:t>Bloque 3 — Medicación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medications</w:t>
            </w:r>
          </w:p>
        </w:tc>
        <w:tc>
          <w:tcPr>
            <w:tcW w:type="dxa" w:w="2880"/>
          </w:tcPr>
          <w:p>
            <w:r/>
            <w:r>
              <w:t>Plan de medicamento; dosis estructurada (</w:t>
            </w:r>
            <w:r>
              <w:rPr>
                <w:rFonts w:ascii="Consolas" w:hAnsi="Consolas"/>
                <w:color w:val="C7254E"/>
                <w:sz w:val="18"/>
              </w:rPr>
              <w:t>dose_amount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dose_unit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dose_text</w:t>
            </w:r>
            <w:r>
              <w:t xml:space="preserve"> GENERATED).</w:t>
            </w:r>
          </w:p>
        </w:tc>
        <w:tc>
          <w:tcPr>
            <w:tcW w:type="dxa" w:w="2880"/>
          </w:tcPr>
          <w:p>
            <w:r/>
            <w:r>
              <w:t>RF-24…27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medication_times</w:t>
            </w:r>
          </w:p>
        </w:tc>
        <w:tc>
          <w:tcPr>
            <w:tcW w:type="dxa" w:w="2880"/>
          </w:tcPr>
          <w:p>
            <w:r/>
            <w:r>
              <w:t>Horarios de toma (1FN).</w:t>
            </w:r>
          </w:p>
        </w:tc>
        <w:tc>
          <w:tcPr>
            <w:tcW w:type="dxa" w:w="2880"/>
          </w:tcPr>
          <w:p>
            <w:r/>
            <w:r>
              <w:t>RF-24, RF-32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medication_days</w:t>
            </w:r>
          </w:p>
        </w:tc>
        <w:tc>
          <w:tcPr>
            <w:tcW w:type="dxa" w:w="2880"/>
          </w:tcPr>
          <w:p>
            <w:r/>
            <w:r>
              <w:t>Días habilitados (1FN).</w:t>
            </w:r>
          </w:p>
        </w:tc>
        <w:tc>
          <w:tcPr>
            <w:tcW w:type="dxa" w:w="2880"/>
          </w:tcPr>
          <w:p>
            <w:r/>
            <w:r>
              <w:t>RF-24, RF-32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scheduled_doses</w:t>
            </w:r>
          </w:p>
        </w:tc>
        <w:tc>
          <w:tcPr>
            <w:tcW w:type="dxa" w:w="2880"/>
          </w:tcPr>
          <w:p>
            <w:r/>
            <w:r>
              <w:t xml:space="preserve">Tomas y estado; sin </w:t>
            </w:r>
            <w:r>
              <w:rPr>
                <w:rFonts w:ascii="Consolas" w:hAnsi="Consolas"/>
                <w:color w:val="C7254E"/>
                <w:sz w:val="18"/>
              </w:rPr>
              <w:t>patient_id</w:t>
            </w:r>
            <w:r>
              <w:t xml:space="preserve"> (2FN, JOIN); 3 momentos: </w:t>
            </w:r>
            <w:r>
              <w:rPr>
                <w:rFonts w:ascii="Consolas" w:hAnsi="Consolas"/>
                <w:color w:val="C7254E"/>
                <w:sz w:val="18"/>
              </w:rPr>
              <w:t>scheduled_at</w:t>
            </w:r>
            <w:r>
              <w:t>/</w:t>
            </w:r>
            <w:r>
              <w:rPr>
                <w:rFonts w:ascii="Consolas" w:hAnsi="Consolas"/>
                <w:color w:val="C7254E"/>
                <w:sz w:val="18"/>
              </w:rPr>
              <w:t>administered_at</w:t>
            </w:r>
            <w:r>
              <w:t>/</w:t>
            </w:r>
            <w:r>
              <w:rPr>
                <w:rFonts w:ascii="Consolas" w:hAnsi="Consolas"/>
                <w:color w:val="C7254E"/>
                <w:sz w:val="18"/>
              </w:rPr>
              <w:t>logged_at</w:t>
            </w:r>
            <w:r>
              <w:t>.</w:t>
            </w:r>
          </w:p>
        </w:tc>
        <w:tc>
          <w:tcPr>
            <w:tcW w:type="dxa" w:w="2880"/>
          </w:tcPr>
          <w:p>
            <w:r/>
            <w:r>
              <w:t>RF-28…30, RF-32, RF-33</w:t>
            </w:r>
          </w:p>
        </w:tc>
      </w:tr>
    </w:tbl>
    <w:p/>
    <w:p>
      <w:pPr>
        <w:pStyle w:val="Heading3"/>
      </w:pPr>
      <w:r>
        <w:t>Bloque 4 — Alertas y emergencias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alerts</w:t>
            </w:r>
          </w:p>
        </w:tc>
        <w:tc>
          <w:tcPr>
            <w:tcW w:type="dxa" w:w="2880"/>
          </w:tcPr>
          <w:p>
            <w:r/>
            <w:r>
              <w:t xml:space="preserve">Alertas del sistema; </w:t>
            </w:r>
            <w:r>
              <w:rPr>
                <w:rFonts w:ascii="Consolas" w:hAnsi="Consolas"/>
                <w:color w:val="C7254E"/>
                <w:sz w:val="18"/>
              </w:rPr>
              <w:t>dedup_key</w:t>
            </w:r>
            <w:r>
              <w:t xml:space="preserve"> evita repetidas (RF-46).</w:t>
            </w:r>
          </w:p>
        </w:tc>
        <w:tc>
          <w:tcPr>
            <w:tcW w:type="dxa" w:w="2880"/>
          </w:tcPr>
          <w:p>
            <w:r/>
            <w:r>
              <w:t>RF-44, RF-47…49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alert_deliveries</w:t>
            </w:r>
          </w:p>
        </w:tc>
        <w:tc>
          <w:tcPr>
            <w:tcW w:type="dxa" w:w="2880"/>
          </w:tcPr>
          <w:p>
            <w:r/>
            <w:r>
              <w:t>Un registro por intento de notificación; mide latencia (RNF-05).</w:t>
            </w:r>
          </w:p>
        </w:tc>
        <w:tc>
          <w:tcPr>
            <w:tcW w:type="dxa" w:w="2880"/>
          </w:tcPr>
          <w:p>
            <w:r/>
            <w:r>
              <w:t>RF-45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notification_settings</w:t>
            </w:r>
          </w:p>
        </w:tc>
        <w:tc>
          <w:tcPr>
            <w:tcW w:type="dxa" w:w="2880"/>
          </w:tcPr>
          <w:p>
            <w:r/>
            <w:r>
              <w:t>Preferencias por tipo; caída y emergencia no desactivables.</w:t>
            </w:r>
          </w:p>
        </w:tc>
        <w:tc>
          <w:tcPr>
            <w:tcW w:type="dxa" w:w="2880"/>
          </w:tcPr>
          <w:p>
            <w:r/>
            <w:r>
              <w:t>RF-50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emergency_contacts</w:t>
            </w:r>
          </w:p>
        </w:tc>
        <w:tc>
          <w:tcPr>
            <w:tcW w:type="dxa" w:w="2880"/>
          </w:tcPr>
          <w:p>
            <w:r/>
            <w:r>
              <w:t xml:space="preserve">Contactos en orden de escalamiento; </w:t>
            </w:r>
            <w:r>
              <w:rPr>
                <w:rFonts w:ascii="Consolas" w:hAnsi="Consolas"/>
                <w:color w:val="C7254E"/>
                <w:sz w:val="18"/>
              </w:rPr>
              <w:t>first_name</w:t>
            </w:r>
            <w:r>
              <w:t>+</w:t>
            </w:r>
            <w:r>
              <w:rPr>
                <w:rFonts w:ascii="Consolas" w:hAnsi="Consolas"/>
                <w:color w:val="C7254E"/>
                <w:sz w:val="18"/>
              </w:rPr>
              <w:t>last_name</w:t>
            </w:r>
            <w:r>
              <w:t xml:space="preserve"> (1FN).</w:t>
            </w:r>
          </w:p>
        </w:tc>
        <w:tc>
          <w:tcPr>
            <w:tcW w:type="dxa" w:w="2880"/>
          </w:tcPr>
          <w:p>
            <w:r/>
            <w:r>
              <w:t>RF-51, RF-52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sos_events</w:t>
            </w:r>
          </w:p>
        </w:tc>
        <w:tc>
          <w:tcPr>
            <w:tcW w:type="dxa" w:w="2880"/>
          </w:tcPr>
          <w:p>
            <w:r/>
            <w:r>
              <w:t>Activaciones del botón de emergencia; una por alerta; ubicación.</w:t>
            </w:r>
          </w:p>
        </w:tc>
        <w:tc>
          <w:tcPr>
            <w:tcW w:type="dxa" w:w="2880"/>
          </w:tcPr>
          <w:p>
            <w:r/>
            <w:r>
              <w:t>RF-51</w:t>
            </w:r>
          </w:p>
        </w:tc>
      </w:tr>
    </w:tbl>
    <w:p/>
    <w:p>
      <w:pPr>
        <w:pStyle w:val="Heading3"/>
      </w:pPr>
      <w:r>
        <w:t>Bloque 5 — Negocio (freemium)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subscriptions</w:t>
            </w:r>
          </w:p>
        </w:tc>
        <w:tc>
          <w:tcPr>
            <w:tcW w:type="dxa" w:w="2880"/>
          </w:tcPr>
          <w:p>
            <w:r/>
            <w:r>
              <w:t xml:space="preserve">Suscripción del modelo freemium; una activa por usuario; </w:t>
            </w:r>
            <w:r>
              <w:rPr>
                <w:rFonts w:ascii="Consolas" w:hAnsi="Consolas"/>
                <w:color w:val="C7254E"/>
                <w:sz w:val="18"/>
              </w:rPr>
              <w:t>provider_ref</w:t>
            </w:r>
            <w:r>
              <w:t xml:space="preserve"> opaco (sin datos de tarjeta).</w:t>
            </w:r>
          </w:p>
        </w:tc>
        <w:tc>
          <w:tcPr>
            <w:tcW w:type="dxa" w:w="2880"/>
          </w:tcPr>
          <w:p>
            <w:r/>
            <w:r>
              <w:t>RF-73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5. Estado de normalización</w:t>
      </w:r>
    </w:p>
    <w:p>
      <w:pPr>
        <w:pStyle w:val="Heading3"/>
      </w:pPr>
      <w:r>
        <w:t>Correcciones aplicadas (hasta 2FN)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Antes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Después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patients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users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full_name</w:t>
            </w:r>
            <w:r>
              <w:t xml:space="preserve"> no atómico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first_name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last_name</w:t>
            </w:r>
            <w:r>
              <w:t xml:space="preserve"> + GENERATED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patients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conditions</w:t>
            </w:r>
            <w:r>
              <w:t xml:space="preserve"> jsonb</w:t>
            </w:r>
          </w:p>
        </w:tc>
        <w:tc>
          <w:tcPr>
            <w:tcW w:type="dxa" w:w="2880"/>
          </w:tcPr>
          <w:p>
            <w:r/>
            <w:r>
              <w:t xml:space="preserve">tabla </w:t>
            </w:r>
            <w:r>
              <w:rPr>
                <w:rFonts w:ascii="Consolas" w:hAnsi="Consolas"/>
                <w:color w:val="C7254E"/>
                <w:sz w:val="18"/>
              </w:rPr>
              <w:t>patient_conditions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medications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times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days_of_week</w:t>
            </w:r>
            <w:r>
              <w:t xml:space="preserve"> jsonb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medication_times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medication_days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scheduled_doses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patient_id</w:t>
            </w:r>
            <w:r>
              <w:t xml:space="preserve"> redundante (2FN)</w:t>
            </w:r>
          </w:p>
        </w:tc>
        <w:tc>
          <w:tcPr>
            <w:tcW w:type="dxa" w:w="2880"/>
          </w:tcPr>
          <w:p>
            <w:r/>
            <w:r>
              <w:t xml:space="preserve">eliminado; se usa JOIN con </w:t>
            </w:r>
            <w:r>
              <w:rPr>
                <w:rFonts w:ascii="Consolas" w:hAnsi="Consolas"/>
                <w:color w:val="C7254E"/>
                <w:sz w:val="18"/>
              </w:rPr>
              <w:t>medications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alerts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update_at</w:t>
            </w:r>
            <w:r>
              <w:t xml:space="preserve"> (typo, rompía el trigger)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updated_at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vital_readings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8"/>
              </w:rPr>
              <w:t>vital_thresholds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CHECK</w:t>
            </w:r>
            <w:r>
              <w:t xml:space="preserve"> de tipo duplicado</w:t>
            </w:r>
          </w:p>
        </w:tc>
        <w:tc>
          <w:tcPr>
            <w:tcW w:type="dxa" w:w="2880"/>
          </w:tcPr>
          <w:p>
            <w:r/>
            <w:r>
              <w:t xml:space="preserve">catálogo </w:t>
            </w:r>
            <w:r>
              <w:rPr>
                <w:rFonts w:ascii="Consolas" w:hAnsi="Consolas"/>
                <w:color w:val="C7254E"/>
                <w:sz w:val="18"/>
              </w:rPr>
              <w:t>vital_types</w:t>
            </w:r>
            <w:r>
              <w:t xml:space="preserve"> + FK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push_devices</w:t>
            </w:r>
          </w:p>
        </w:tc>
        <w:tc>
          <w:tcPr>
            <w:tcW w:type="dxa" w:w="2880"/>
          </w:tcPr>
          <w:p>
            <w:r/>
            <w:r>
              <w:t xml:space="preserve">trigger </w:t>
            </w:r>
            <w:r>
              <w:rPr>
                <w:rFonts w:ascii="Consolas" w:hAnsi="Consolas"/>
                <w:color w:val="C7254E"/>
                <w:sz w:val="18"/>
              </w:rPr>
              <w:t>updated_at</w:t>
            </w:r>
            <w:r>
              <w:t xml:space="preserve"> faltante</w:t>
            </w:r>
          </w:p>
        </w:tc>
        <w:tc>
          <w:tcPr>
            <w:tcW w:type="dxa" w:w="2880"/>
          </w:tcPr>
          <w:p>
            <w:r/>
            <w:r>
              <w:t>trigger agregado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emergency_contacts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full_name</w:t>
            </w:r>
            <w:r>
              <w:t xml:space="preserve"> no atómico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first_name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last_name</w:t>
            </w:r>
            <w:r>
              <w:t xml:space="preserve"> + GENERATED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medications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dose</w:t>
            </w:r>
            <w:r>
              <w:t xml:space="preserve"> varchar ("50 mg") no computable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dose_amount</w:t>
            </w:r>
            <w:r>
              <w:t xml:space="preserve"> numérico + </w:t>
            </w:r>
            <w:r>
              <w:rPr>
                <w:rFonts w:ascii="Consolas" w:hAnsi="Consolas"/>
                <w:color w:val="C7254E"/>
                <w:sz w:val="18"/>
              </w:rPr>
              <w:t>dose_unit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8"/>
              </w:rPr>
              <w:t>dose_text</w:t>
            </w:r>
            <w:r>
              <w:t xml:space="preserve"> GENERATED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scheduled_doses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logged_at</w:t>
            </w:r>
            <w:r>
              <w:t xml:space="preserve"> confundía hecho clínico y registro</w:t>
            </w:r>
          </w:p>
        </w:tc>
        <w:tc>
          <w:tcPr>
            <w:tcW w:type="dxa" w:w="2880"/>
          </w:tcPr>
          <w:p>
            <w:r/>
            <w:r>
              <w:t xml:space="preserve">se agrega </w:t>
            </w:r>
            <w:r>
              <w:rPr>
                <w:rFonts w:ascii="Consolas" w:hAnsi="Consolas"/>
                <w:color w:val="C7254E"/>
                <w:sz w:val="18"/>
              </w:rPr>
              <w:t>administered_at</w:t>
            </w:r>
            <w:r>
              <w:t xml:space="preserve"> (hora real de administración)</w:t>
            </w:r>
          </w:p>
        </w:tc>
      </w:tr>
    </w:tbl>
    <w:p/>
    <w:p>
      <w:pPr>
        <w:pStyle w:val="Heading3"/>
      </w:pPr>
      <w:r>
        <w:t>Excepciones documentadas (decisión de diseño, no error)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Caso</w:t>
            </w:r>
          </w:p>
        </w:tc>
        <w:tc>
          <w:tcPr>
            <w:tcW w:type="dxa" w:w="432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Motivo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vital_readings</w:t>
            </w:r>
            <w:r>
              <w:t xml:space="preserve"> PK </w:t>
            </w:r>
            <w:r>
              <w:rPr>
                <w:rFonts w:ascii="Consolas" w:hAnsi="Consolas"/>
                <w:color w:val="C7254E"/>
                <w:sz w:val="18"/>
              </w:rPr>
              <w:t>(id, measured_at)</w:t>
            </w:r>
          </w:p>
        </w:tc>
        <w:tc>
          <w:tcPr>
            <w:tcW w:type="dxa" w:w="4320"/>
          </w:tcPr>
          <w:p>
            <w:r/>
            <w:r>
              <w:t>PostgreSQL exige la columna de particionamiento en la PK.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alerts.payload</w:t>
            </w:r>
            <w:r>
              <w:t xml:space="preserve"> jsonb</w:t>
            </w:r>
          </w:p>
        </w:tc>
        <w:tc>
          <w:tcPr>
            <w:tcW w:type="dxa" w:w="4320"/>
          </w:tcPr>
          <w:p>
            <w:r/>
            <w:r>
              <w:t>Atributos variables según el tipo de alerta; no se consultan ni cruzan.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vital_readings.meta</w:t>
            </w:r>
            <w:r>
              <w:t xml:space="preserve"> jsonb</w:t>
            </w:r>
          </w:p>
        </w:tc>
        <w:tc>
          <w:tcPr>
            <w:tcW w:type="dxa" w:w="4320"/>
          </w:tcPr>
          <w:p>
            <w:r/>
            <w:r>
              <w:t>Cada proveedor de wearable envía campos distintos; solo trazabilidad.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patients.rut_dv</w:t>
            </w:r>
          </w:p>
        </w:tc>
        <w:tc>
          <w:tcPr>
            <w:tcW w:type="dxa" w:w="4320"/>
          </w:tcPr>
          <w:p>
            <w:r/>
            <w:r>
              <w:t xml:space="preserve">Derivable de </w:t>
            </w:r>
            <w:r>
              <w:rPr>
                <w:rFonts w:ascii="Consolas" w:hAnsi="Consolas"/>
                <w:color w:val="C7254E"/>
                <w:sz w:val="18"/>
              </w:rPr>
              <w:t>rut_number</w:t>
            </w:r>
            <w:r>
              <w:t xml:space="preserve"> (módulo 11); se guarda por conveniencia de validación.</w:t>
            </w:r>
          </w:p>
        </w:tc>
      </w:tr>
    </w:tbl>
    <w:p/>
    <w:p>
      <w:r>
        <w:t xml:space="preserve">Detalle completo en </w:t>
      </w:r>
      <w:r>
        <w:rPr>
          <w:rFonts w:ascii="Consolas" w:hAnsi="Consolas"/>
          <w:color w:val="C7254E"/>
          <w:sz w:val="18"/>
        </w:rPr>
        <w:t>docs/Normalizacion_2FN_AgeCare.md</w:t>
      </w:r>
      <w:r>
        <w:t>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6. Matriz de cobertura — Modelo ↔ Requisitos del ERS (transparencia)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Módulo del ERS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RF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Tablas</w:t>
            </w:r>
          </w:p>
        </w:tc>
        <w:tc>
          <w:tcPr>
            <w:tcW w:type="dxa" w:w="216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Cobertura</w:t>
            </w:r>
          </w:p>
        </w:tc>
      </w:tr>
      <w:tr>
        <w:tc>
          <w:tcPr>
            <w:tcW w:type="dxa" w:w="2160"/>
          </w:tcPr>
          <w:p>
            <w:r/>
            <w:r>
              <w:t>Autenticación y cuentas</w:t>
            </w:r>
          </w:p>
        </w:tc>
        <w:tc>
          <w:tcPr>
            <w:tcW w:type="dxa" w:w="2160"/>
          </w:tcPr>
          <w:p>
            <w:r/>
            <w:r>
              <w:t>RF-01…07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users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refresh_tokens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push_devices</w:t>
            </w:r>
          </w:p>
        </w:tc>
        <w:tc>
          <w:tcPr>
            <w:tcW w:type="dxa" w:w="2160"/>
          </w:tcPr>
          <w:p>
            <w:r/>
            <w:r>
              <w:t>✅ 100%</w:t>
            </w:r>
          </w:p>
        </w:tc>
      </w:tr>
      <w:tr>
        <w:tc>
          <w:tcPr>
            <w:tcW w:type="dxa" w:w="2160"/>
          </w:tcPr>
          <w:p>
            <w:r/>
            <w:r>
              <w:t>Pacientes y círculo</w:t>
            </w:r>
          </w:p>
        </w:tc>
        <w:tc>
          <w:tcPr>
            <w:tcW w:type="dxa" w:w="2160"/>
          </w:tcPr>
          <w:p>
            <w:r/>
            <w:r>
              <w:t>RF-08…16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patients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patient_conditions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patient_members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invitations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wearables</w:t>
            </w:r>
          </w:p>
        </w:tc>
        <w:tc>
          <w:tcPr>
            <w:tcW w:type="dxa" w:w="2160"/>
          </w:tcPr>
          <w:p>
            <w:r/>
            <w:r>
              <w:t>✅ 100%</w:t>
            </w:r>
          </w:p>
        </w:tc>
      </w:tr>
      <w:tr>
        <w:tc>
          <w:tcPr>
            <w:tcW w:type="dxa" w:w="2160"/>
          </w:tcPr>
          <w:p>
            <w:r/>
            <w:r>
              <w:t>Salud y signos vitales</w:t>
            </w:r>
          </w:p>
        </w:tc>
        <w:tc>
          <w:tcPr>
            <w:tcW w:type="dxa" w:w="2160"/>
          </w:tcPr>
          <w:p>
            <w:r/>
            <w:r>
              <w:t>RF-17…23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vital_types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vital_readings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vital_thresholds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wearables</w:t>
            </w:r>
          </w:p>
        </w:tc>
        <w:tc>
          <w:tcPr>
            <w:tcW w:type="dxa" w:w="2160"/>
          </w:tcPr>
          <w:p>
            <w:r/>
            <w:r>
              <w:t>✅ 100%</w:t>
            </w:r>
          </w:p>
        </w:tc>
      </w:tr>
      <w:tr>
        <w:tc>
          <w:tcPr>
            <w:tcW w:type="dxa" w:w="2160"/>
          </w:tcPr>
          <w:p>
            <w:r/>
            <w:r>
              <w:t>Medicamentos y adherencia</w:t>
            </w:r>
          </w:p>
        </w:tc>
        <w:tc>
          <w:tcPr>
            <w:tcW w:type="dxa" w:w="2160"/>
          </w:tcPr>
          <w:p>
            <w:r/>
            <w:r>
              <w:t>RF-24…33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medications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medication_times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medication_days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scheduled_doses</w:t>
            </w:r>
          </w:p>
        </w:tc>
        <w:tc>
          <w:tcPr>
            <w:tcW w:type="dxa" w:w="2160"/>
          </w:tcPr>
          <w:p>
            <w:r/>
            <w:r>
              <w:t>✅ 100% (OCR RF-31 es lógica de app, no requiere tabla nueva)</w:t>
            </w:r>
          </w:p>
        </w:tc>
      </w:tr>
      <w:tr>
        <w:tc>
          <w:tcPr>
            <w:tcW w:type="dxa" w:w="2160"/>
          </w:tcPr>
          <w:p>
            <w:r/>
            <w:r>
              <w:t>Alertas y emergencias</w:t>
            </w:r>
          </w:p>
        </w:tc>
        <w:tc>
          <w:tcPr>
            <w:tcW w:type="dxa" w:w="2160"/>
          </w:tcPr>
          <w:p>
            <w:r/>
            <w:r>
              <w:t>RF-44…52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alerts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alert_deliveries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notification_settings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emergency_contacts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sos_events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system_parameters</w:t>
            </w:r>
          </w:p>
        </w:tc>
        <w:tc>
          <w:tcPr>
            <w:tcW w:type="dxa" w:w="2160"/>
          </w:tcPr>
          <w:p>
            <w:r/>
            <w:r>
              <w:t>✅ 100%</w:t>
            </w:r>
          </w:p>
        </w:tc>
      </w:tr>
      <w:tr>
        <w:tc>
          <w:tcPr>
            <w:tcW w:type="dxa" w:w="2160"/>
          </w:tcPr>
          <w:p>
            <w:r/>
            <w:r>
              <w:t>Operación de la cuidadora (freemium)</w:t>
            </w:r>
          </w:p>
        </w:tc>
        <w:tc>
          <w:tcPr>
            <w:tcW w:type="dxa" w:w="2160"/>
          </w:tcPr>
          <w:p>
            <w:r/>
            <w:r>
              <w:t>RF-73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subscriptions</w:t>
            </w:r>
          </w:p>
        </w:tc>
        <w:tc>
          <w:tcPr>
            <w:tcW w:type="dxa" w:w="2160"/>
          </w:tcPr>
          <w:p>
            <w:r/>
            <w:r>
              <w:t>✅ Base de datos lista (validación en app)</w:t>
            </w:r>
          </w:p>
        </w:tc>
      </w:tr>
      <w:tr>
        <w:tc>
          <w:tcPr>
            <w:tcW w:type="dxa" w:w="2160"/>
          </w:tcPr>
          <w:p>
            <w:r/>
            <w:r>
              <w:t>Trazabilidad clínica</w:t>
            </w:r>
          </w:p>
        </w:tc>
        <w:tc>
          <w:tcPr>
            <w:tcW w:type="dxa" w:w="2160"/>
          </w:tcPr>
          <w:p>
            <w:r/>
            <w:r>
              <w:t>RNF-14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audit_log</w:t>
            </w:r>
          </w:p>
        </w:tc>
        <w:tc>
          <w:tcPr>
            <w:tcW w:type="dxa" w:w="2160"/>
          </w:tcPr>
          <w:p>
            <w:r/>
            <w:r>
              <w:t>✅ 100%</w:t>
            </w:r>
          </w:p>
        </w:tc>
      </w:tr>
      <w:tr>
        <w:tc>
          <w:tcPr>
            <w:tcW w:type="dxa" w:w="2160"/>
          </w:tcPr>
          <w:p>
            <w:r/>
            <w:r>
              <w:t>Bitácora del expediente</w:t>
            </w:r>
          </w:p>
        </w:tc>
        <w:tc>
          <w:tcPr>
            <w:tcW w:type="dxa" w:w="2160"/>
          </w:tcPr>
          <w:p>
            <w:r/>
            <w:r>
              <w:t>RF-34…38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Fase 2 (resto)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Archivos y documentos</w:t>
            </w:r>
          </w:p>
        </w:tc>
        <w:tc>
          <w:tcPr>
            <w:tcW w:type="dxa" w:w="2160"/>
          </w:tcPr>
          <w:p>
            <w:r/>
            <w:r>
              <w:t>RF-39…43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Fase 2 (resto)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Comunicación + Asistente IA</w:t>
            </w:r>
          </w:p>
        </w:tc>
        <w:tc>
          <w:tcPr>
            <w:tcW w:type="dxa" w:w="2160"/>
          </w:tcPr>
          <w:p>
            <w:r/>
            <w:r>
              <w:t>RF-53…59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Fase 2 (resto)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Vista del adulto mayor (+ Director Musical)</w:t>
            </w:r>
          </w:p>
        </w:tc>
        <w:tc>
          <w:tcPr>
            <w:tcW w:type="dxa" w:w="2160"/>
          </w:tcPr>
          <w:p>
            <w:r/>
            <w:r>
              <w:t>RF-60…69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Fase 2 (resto)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Operación de la cuidadora (resto)</w:t>
            </w:r>
          </w:p>
        </w:tc>
        <w:tc>
          <w:tcPr>
            <w:tcW w:type="dxa" w:w="2160"/>
          </w:tcPr>
          <w:p>
            <w:r/>
            <w:r>
              <w:t>RF-70…72, RF-74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Fase 2 (resto)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Marketplace</w:t>
            </w:r>
          </w:p>
        </w:tc>
        <w:tc>
          <w:tcPr>
            <w:tcW w:type="dxa" w:w="2160"/>
          </w:tcPr>
          <w:p>
            <w:r/>
            <w:r>
              <w:t>RF-75…79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Fase 2 (resto)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  <w:tr>
        <w:tc>
          <w:tcPr>
            <w:tcW w:type="dxa" w:w="2160"/>
          </w:tcPr>
          <w:p>
            <w:r/>
            <w:r>
              <w:t>Funcionamiento sin conexión</w:t>
            </w:r>
          </w:p>
        </w:tc>
        <w:tc>
          <w:tcPr>
            <w:tcW w:type="dxa" w:w="2160"/>
          </w:tcPr>
          <w:p>
            <w:r/>
            <w:r>
              <w:t>RF-80…82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Fase 2 (resto, lado app)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</w:tr>
    </w:tbl>
    <w:p/>
    <w:p>
      <w:pPr>
        <w:pStyle w:val="Heading3"/>
      </w:pPr>
      <w:r>
        <w:t>Conclusión de cobertura</w:t>
      </w:r>
    </w:p>
    <w:p>
      <w:pPr>
        <w:pStyle w:val="ListBullet"/>
      </w:pPr>
      <w:r>
        <w:rPr>
          <w:b/>
        </w:rPr>
        <w:t>El núcleo de salud (RF-01…33 y RF-44…52) está 100% soportado</w:t>
      </w:r>
      <w:r>
        <w:t xml:space="preserve"> por el modelo definitivo</w:t>
      </w:r>
    </w:p>
    <w:p>
      <w:r>
        <w:t>(24 tablas). Este es el avance comprometido para el 04 de octubre.</w:t>
      </w:r>
    </w:p>
    <w:p>
      <w:pPr>
        <w:pStyle w:val="ListBullet"/>
      </w:pPr>
      <w:r>
        <w:t>Las cuatro tablas transversales (</w:t>
      </w:r>
      <w:r>
        <w:rPr>
          <w:rFonts w:ascii="Consolas" w:hAnsi="Consolas"/>
          <w:color w:val="C7254E"/>
          <w:sz w:val="18"/>
        </w:rPr>
        <w:t>audit_log</w:t>
      </w:r>
      <w:r>
        <w:t xml:space="preserve">, </w:t>
      </w:r>
      <w:r>
        <w:rPr>
          <w:rFonts w:ascii="Consolas" w:hAnsi="Consolas"/>
          <w:color w:val="C7254E"/>
          <w:sz w:val="18"/>
        </w:rPr>
        <w:t>system_parameters</w:t>
      </w:r>
      <w:r>
        <w:t xml:space="preserve">, </w:t>
      </w:r>
      <w:r>
        <w:rPr>
          <w:rFonts w:ascii="Consolas" w:hAnsi="Consolas"/>
          <w:color w:val="C7254E"/>
          <w:sz w:val="18"/>
        </w:rPr>
        <w:t>wellbeing_snapshots</w:t>
      </w:r>
      <w:r>
        <w:t>,</w:t>
      </w:r>
    </w:p>
    <w:p>
      <w:r>
        <w:rPr>
          <w:rFonts w:ascii="Consolas" w:hAnsi="Consolas"/>
          <w:color w:val="C7254E"/>
          <w:sz w:val="18"/>
        </w:rPr>
        <w:t>subscriptions</w:t>
      </w:r>
      <w:r>
        <w:t xml:space="preserve">) nacen del </w:t>
      </w:r>
      <w:r>
        <w:rPr>
          <w:b/>
        </w:rPr>
        <w:t>análisis de realidad</w:t>
      </w:r>
      <w:r>
        <w:t xml:space="preserve"> (documento 04): resuelven trazabilidad</w:t>
      </w:r>
    </w:p>
    <w:p>
      <w:r>
        <w:t>clínica (RNF-14), configurabilidad de umbrales, memoria histórica del bienestar y base del</w:t>
      </w:r>
    </w:p>
    <w:p>
      <w:r>
        <w:t>modelo freemium (RF-73).</w:t>
      </w:r>
    </w:p>
    <w:p>
      <w:pPr>
        <w:pStyle w:val="ListBullet"/>
      </w:pPr>
      <w:r>
        <w:t xml:space="preserve">Los módulos restantes del ERS están </w:t>
      </w:r>
      <w:r>
        <w:rPr>
          <w:b/>
        </w:rPr>
        <w:t>especificados y declarados</w:t>
      </w:r>
      <w:r>
        <w:t>; se incorporan en el resto</w:t>
      </w:r>
    </w:p>
    <w:p>
      <w:r>
        <w:t xml:space="preserve">de la Fase 2 siguiendo el patrón ya establecido (FK a </w:t>
      </w:r>
      <w:r>
        <w:rPr>
          <w:rFonts w:ascii="Consolas" w:hAnsi="Consolas"/>
          <w:color w:val="C7254E"/>
          <w:sz w:val="18"/>
        </w:rPr>
        <w:t>patients</w:t>
      </w:r>
      <w:r>
        <w:t>/</w:t>
      </w:r>
      <w:r>
        <w:rPr>
          <w:rFonts w:ascii="Consolas" w:hAnsi="Consolas"/>
          <w:color w:val="C7254E"/>
          <w:sz w:val="18"/>
        </w:rPr>
        <w:t>users</w:t>
      </w:r>
      <w:r>
        <w:t>, control por</w:t>
      </w:r>
    </w:p>
    <w:p>
      <w:r>
        <w:rPr>
          <w:rFonts w:ascii="Consolas" w:hAnsi="Consolas"/>
          <w:color w:val="C7254E"/>
          <w:sz w:val="18"/>
        </w:rPr>
        <w:t>patient_members</w:t>
      </w:r>
      <w:r>
        <w:t>), sin rediseñar el núcleo.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7. Orden de carga de scripts (dependencias de FK)</w:t>
      </w:r>
    </w:p>
    <w:p>
      <w:pPr>
        <w:ind w:left="288"/>
        <w:shd w:val="clear" w:fill="F2F2F2"/>
      </w:pPr>
      <w:r>
        <w:rPr>
          <w:rFonts w:ascii="Consolas" w:hAnsi="Consolas"/>
          <w:color w:val="1E1E1E"/>
          <w:sz w:val="17"/>
        </w:rPr>
        <w:t>001_base              función set_updated_at</w:t>
        <w:br/>
        <w:t>101_users             → base de todo</w:t>
        <w:br/>
        <w:t>102_refresh_tokens    → users</w:t>
        <w:br/>
        <w:t>103_push_devices      → users</w:t>
        <w:br/>
        <w:t>104_patients          + patient_conditions</w:t>
        <w:br/>
        <w:t>105_patient_members   → patients, users</w:t>
        <w:br/>
        <w:t>106_invitations       → patients, users</w:t>
        <w:br/>
        <w:t>107_audit_log         → users, patients (trazabilidad inmutable)</w:t>
        <w:br/>
        <w:t>108_system_parameters → users (parámetros de negocio)</w:t>
        <w:br/>
        <w:t>200_vital_types       catálogo (antes de 202/203)</w:t>
        <w:br/>
        <w:t>201_wearables         → patients</w:t>
        <w:br/>
        <w:t>202_vital_readings    → patients, vital_types   (particionada por mes)</w:t>
        <w:br/>
        <w:t>203_vital_thresholds  → patients, vital_types</w:t>
        <w:br/>
        <w:t>204_wellbeing_snapshots → patients (historial del semáforo)</w:t>
        <w:br/>
        <w:t>301_medications       + medication_times + medication_days → patients</w:t>
        <w:br/>
        <w:t>302_scheduled_doses   → medications, users</w:t>
        <w:br/>
        <w:t>401_alerts            → patients, users</w:t>
        <w:br/>
        <w:t>402_alert_deliveries  → alerts, users, push_devices</w:t>
        <w:br/>
        <w:t>403_notification_settings → users</w:t>
        <w:br/>
        <w:t>404_emergency_contacts → patients</w:t>
        <w:br/>
        <w:t>405_sos_events        → patients, users, alerts</w:t>
        <w:br/>
        <w:t>501_subscriptions     → users (modelo freemium)</w:t>
        <w:br/>
        <w:t>900_seed_dev          datos de demostración</w:t>
      </w:r>
    </w:p>
    <w:p>
      <w:r>
        <w:t xml:space="preserve">El prefijo numérico garantiza que cada tabla padre preceda a sus claves foráneas: </w:t>
      </w:r>
      <w:r>
        <w:rPr>
          <w:rFonts w:ascii="Consolas" w:hAnsi="Consolas"/>
          <w:color w:val="C7254E"/>
          <w:sz w:val="18"/>
        </w:rPr>
        <w:t>users</w:t>
      </w:r>
      <w:r>
        <w:t xml:space="preserve"> y</w:t>
      </w:r>
    </w:p>
    <w:p>
      <w:r>
        <w:rPr>
          <w:rFonts w:ascii="Consolas" w:hAnsi="Consolas"/>
          <w:color w:val="C7254E"/>
          <w:sz w:val="18"/>
        </w:rPr>
        <w:t>patients</w:t>
      </w:r>
      <w:r>
        <w:t xml:space="preserve"> antes de </w:t>
      </w:r>
      <w:r>
        <w:rPr>
          <w:rFonts w:ascii="Consolas" w:hAnsi="Consolas"/>
          <w:color w:val="C7254E"/>
          <w:sz w:val="18"/>
        </w:rPr>
        <w:t>audit_log</w:t>
      </w:r>
      <w:r>
        <w:t>/</w:t>
      </w:r>
      <w:r>
        <w:rPr>
          <w:rFonts w:ascii="Consolas" w:hAnsi="Consolas"/>
          <w:color w:val="C7254E"/>
          <w:sz w:val="18"/>
        </w:rPr>
        <w:t>system_parameters</w:t>
      </w:r>
      <w:r>
        <w:t xml:space="preserve">, </w:t>
      </w:r>
      <w:r>
        <w:rPr>
          <w:rFonts w:ascii="Consolas" w:hAnsi="Consolas"/>
          <w:color w:val="C7254E"/>
          <w:sz w:val="18"/>
        </w:rPr>
        <w:t>vital_types</w:t>
      </w:r>
      <w:r>
        <w:t xml:space="preserve"> (200) antes de las tablas</w:t>
      </w:r>
    </w:p>
    <w:p>
      <w:r>
        <w:t>que lo referencian (202, 203), y así sucesivamente. Este encadenamiento explícito es coherente</w:t>
      </w:r>
    </w:p>
    <w:p>
      <w:r>
        <w:t>con el orden secuencial propio de la metodología en cascada.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