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Diccionario de Datos</w:t>
      </w:r>
    </w:p>
    <w:p>
      <w:r>
        <w:rPr>
          <w:b/>
        </w:rPr>
        <w:t>Proyecto APT · Capstone PTY4614 · DUOC UC — Grupo 1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Motor:</w:t>
      </w:r>
      <w:r>
        <w:t xml:space="preserve"> PostgreSQL 16 · Modelo relacional normalizado hasta 2FN</w:t>
      </w:r>
    </w:p>
    <w:p>
      <w:r>
        <w:rPr>
          <w:b/>
        </w:rPr>
        <w:t>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sql/schema/000_schema_completo.sql</w:t>
      </w:r>
      <w:r>
        <w:t xml:space="preserve"> (24 tablas)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Convenciones</w:t>
      </w:r>
    </w:p>
    <w:p>
      <w:pPr>
        <w:pStyle w:val="ListBullet"/>
      </w:pPr>
      <w:r>
        <w:rPr>
          <w:b/>
        </w:rPr>
        <w:t>PK:</w:t>
      </w:r>
      <w:r>
        <w:t xml:space="preserve"> clave primaria · </w:t>
      </w:r>
      <w:r>
        <w:rPr>
          <w:b/>
        </w:rPr>
        <w:t>FK:</w:t>
      </w:r>
      <w:r>
        <w:t xml:space="preserve"> clave foránea · </w:t>
      </w:r>
      <w:r>
        <w:rPr>
          <w:b/>
        </w:rPr>
        <w:t>UK:</w:t>
      </w:r>
      <w:r>
        <w:t xml:space="preserve"> restricción única · </w:t>
      </w:r>
      <w:r>
        <w:rPr>
          <w:b/>
        </w:rPr>
        <w:t>NN:</w:t>
      </w:r>
      <w:r>
        <w:t xml:space="preserve"> no nulo.</w:t>
      </w:r>
    </w:p>
    <w:p>
      <w:pPr>
        <w:pStyle w:val="ListBullet"/>
      </w:pPr>
      <w:r>
        <w:t xml:space="preserve">Los tipos corresponden a PostgreSQL: </w:t>
      </w:r>
      <w:r>
        <w:rPr>
          <w:rFonts w:ascii="Consolas" w:hAnsi="Consolas"/>
          <w:color w:val="C7254E"/>
          <w:sz w:val="18"/>
        </w:rPr>
        <w:t>uuid</w:t>
      </w:r>
      <w:r>
        <w:t xml:space="preserve">, </w:t>
      </w:r>
      <w:r>
        <w:rPr>
          <w:rFonts w:ascii="Consolas" w:hAnsi="Consolas"/>
          <w:color w:val="C7254E"/>
          <w:sz w:val="18"/>
        </w:rPr>
        <w:t>varchar(n)</w:t>
      </w:r>
      <w:r>
        <w:t xml:space="preserve">, </w:t>
      </w:r>
      <w:r>
        <w:rPr>
          <w:rFonts w:ascii="Consolas" w:hAnsi="Consolas"/>
          <w:color w:val="C7254E"/>
          <w:sz w:val="18"/>
        </w:rPr>
        <w:t>text</w:t>
      </w:r>
      <w:r>
        <w:t xml:space="preserve">, </w:t>
      </w:r>
      <w:r>
        <w:rPr>
          <w:rFonts w:ascii="Consolas" w:hAnsi="Consolas"/>
          <w:color w:val="C7254E"/>
          <w:sz w:val="18"/>
        </w:rPr>
        <w:t>timestamptz</w:t>
      </w:r>
      <w:r>
        <w:t xml:space="preserve"> (fecha-hora</w:t>
      </w:r>
    </w:p>
    <w:p>
      <w:r>
        <w:t xml:space="preserve">con zona), </w:t>
      </w:r>
      <w:r>
        <w:rPr>
          <w:rFonts w:ascii="Consolas" w:hAnsi="Consolas"/>
          <w:color w:val="C7254E"/>
          <w:sz w:val="18"/>
        </w:rPr>
        <w:t>date</w:t>
      </w:r>
      <w:r>
        <w:t xml:space="preserve">, </w:t>
      </w:r>
      <w:r>
        <w:rPr>
          <w:rFonts w:ascii="Consolas" w:hAnsi="Consolas"/>
          <w:color w:val="C7254E"/>
          <w:sz w:val="18"/>
        </w:rPr>
        <w:t>time</w:t>
      </w:r>
      <w:r>
        <w:t xml:space="preserve">, </w:t>
      </w:r>
      <w:r>
        <w:rPr>
          <w:rFonts w:ascii="Consolas" w:hAnsi="Consolas"/>
          <w:color w:val="C7254E"/>
          <w:sz w:val="18"/>
        </w:rPr>
        <w:t>numeric(p,e)</w:t>
      </w:r>
      <w:r>
        <w:t xml:space="preserve">, </w:t>
      </w:r>
      <w:r>
        <w:rPr>
          <w:rFonts w:ascii="Consolas" w:hAnsi="Consolas"/>
          <w:color w:val="C7254E"/>
          <w:sz w:val="18"/>
        </w:rPr>
        <w:t>smallint</w:t>
      </w:r>
      <w:r>
        <w:t xml:space="preserve">, </w:t>
      </w:r>
      <w:r>
        <w:rPr>
          <w:rFonts w:ascii="Consolas" w:hAnsi="Consolas"/>
          <w:color w:val="C7254E"/>
          <w:sz w:val="18"/>
        </w:rPr>
        <w:t>boolean</w:t>
      </w:r>
      <w:r>
        <w:t xml:space="preserve">, </w:t>
      </w:r>
      <w:r>
        <w:rPr>
          <w:rFonts w:ascii="Consolas" w:hAnsi="Consolas"/>
          <w:color w:val="C7254E"/>
          <w:sz w:val="18"/>
        </w:rPr>
        <w:t>jsonb</w:t>
      </w:r>
      <w:r>
        <w:t xml:space="preserve">, </w:t>
      </w:r>
      <w:r>
        <w:rPr>
          <w:rFonts w:ascii="Consolas" w:hAnsi="Consolas"/>
          <w:color w:val="C7254E"/>
          <w:sz w:val="18"/>
        </w:rPr>
        <w:t>inet</w:t>
      </w:r>
      <w:r>
        <w:t>.</w:t>
      </w:r>
    </w:p>
    <w:p>
      <w:pPr>
        <w:pStyle w:val="ListBullet"/>
      </w:pPr>
      <w:r>
        <w:t>"GENERATED" indica columna calculada por la base (solo lectura).</w:t>
      </w:r>
    </w:p>
    <w:p>
      <w:pPr>
        <w:pStyle w:val="ListBullet"/>
      </w:pPr>
      <w:r>
        <w:t xml:space="preserve">Política de borrado en FK: todas las claves foráneas usan </w:t>
      </w:r>
      <w:r>
        <w:rPr>
          <w:rFonts w:ascii="Consolas" w:hAnsi="Consolas"/>
          <w:color w:val="C7254E"/>
          <w:sz w:val="18"/>
        </w:rPr>
        <w:t>ON DELETE RESTRICT</w:t>
      </w:r>
      <w:r>
        <w:t>. El modelo</w:t>
      </w:r>
    </w:p>
    <w:p>
      <w:r>
        <w:rPr>
          <w:b/>
        </w:rPr>
        <w:t>no admite borrado físico</w:t>
      </w:r>
      <w:r>
        <w:t>: el motor impide eliminar una fila con registros asociados. La</w:t>
      </w:r>
    </w:p>
    <w:p>
      <w:r>
        <w:t xml:space="preserve">baja de un registro se hace por desactivación (columnas </w:t>
      </w:r>
      <w:r>
        <w:rPr>
          <w:rFonts w:ascii="Consolas" w:hAnsi="Consolas"/>
          <w:color w:val="C7254E"/>
          <w:sz w:val="18"/>
        </w:rPr>
        <w:t>deleted_at</w:t>
      </w:r>
      <w:r>
        <w:t xml:space="preserve">, </w:t>
      </w:r>
      <w:r>
        <w:rPr>
          <w:rFonts w:ascii="Consolas" w:hAnsi="Consolas"/>
          <w:color w:val="C7254E"/>
          <w:sz w:val="18"/>
        </w:rPr>
        <w:t>removed_at</w:t>
      </w:r>
      <w:r>
        <w:t>,</w:t>
      </w:r>
    </w:p>
    <w:p>
      <w:r>
        <w:rPr>
          <w:rFonts w:ascii="Consolas" w:hAnsi="Consolas"/>
          <w:color w:val="C7254E"/>
          <w:sz w:val="18"/>
        </w:rPr>
        <w:t>unlinked_at</w:t>
      </w:r>
      <w:r>
        <w:t xml:space="preserve">, </w:t>
      </w:r>
      <w:r>
        <w:rPr>
          <w:rFonts w:ascii="Consolas" w:hAnsi="Consolas"/>
          <w:color w:val="C7254E"/>
          <w:sz w:val="18"/>
        </w:rPr>
        <w:t>discontinued_at</w:t>
      </w:r>
      <w:r>
        <w:t xml:space="preserve">, </w:t>
      </w:r>
      <w:r>
        <w:rPr>
          <w:rFonts w:ascii="Consolas" w:hAnsi="Consolas"/>
          <w:color w:val="C7254E"/>
          <w:sz w:val="18"/>
        </w:rPr>
        <w:t>revoked_at</w:t>
      </w:r>
      <w:r>
        <w:t xml:space="preserve">, </w:t>
      </w:r>
      <w:r>
        <w:rPr>
          <w:rFonts w:ascii="Consolas" w:hAnsi="Consolas"/>
          <w:color w:val="C7254E"/>
          <w:sz w:val="18"/>
        </w:rPr>
        <w:t>cancelled_at</w:t>
      </w:r>
      <w:r>
        <w:t>), conservando el dato histórico</w:t>
      </w:r>
    </w:p>
    <w:p>
      <w:r>
        <w:t>para análisis posterior y trazabilidad clínica.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Bloque 1 — Identidad y acceso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users</w:t>
      </w:r>
      <w:r>
        <w:t xml:space="preserve"> — Cuentas de usuario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interno de la cuenta.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varchar(254)</w:t>
            </w:r>
          </w:p>
        </w:tc>
        <w:tc>
          <w:tcPr>
            <w:tcW w:type="dxa" w:w="2160"/>
          </w:tcPr>
          <w:p>
            <w:r/>
            <w:r>
              <w:t>NN, UK (sin mayúsculas)</w:t>
            </w:r>
          </w:p>
        </w:tc>
        <w:tc>
          <w:tcPr>
            <w:tcW w:type="dxa" w:w="2160"/>
          </w:tcPr>
          <w:p>
            <w:r/>
            <w:r>
              <w:t>Correo de acceso.</w:t>
            </w:r>
          </w:p>
        </w:tc>
      </w:tr>
      <w:tr>
        <w:tc>
          <w:tcPr>
            <w:tcW w:type="dxa" w:w="2160"/>
          </w:tcPr>
          <w:p>
            <w:r/>
            <w:r>
              <w:t>password_hash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Hash de la contraseña (bcrypt/argon2). Nunca texto plano.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usuario.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usuario.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 (first + last). Solo lectura.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Teléfono en formato E.164. Opcional.</w:t>
            </w:r>
          </w:p>
        </w:tc>
      </w:tr>
      <w:tr>
        <w:tc>
          <w:tcPr>
            <w:tcW w:type="dxa" w:w="2160"/>
          </w:tcPr>
          <w:p>
            <w:r/>
            <w:r>
              <w:t>avatar_url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URL de la foto de perfil. Opcional.</w:t>
            </w:r>
          </w:p>
        </w:tc>
      </w:tr>
      <w:tr>
        <w:tc>
          <w:tcPr>
            <w:tcW w:type="dxa" w:w="2160"/>
          </w:tcPr>
          <w:p>
            <w:r/>
            <w:r>
              <w:t>locale</w:t>
            </w:r>
          </w:p>
        </w:tc>
        <w:tc>
          <w:tcPr>
            <w:tcW w:type="dxa" w:w="2160"/>
          </w:tcPr>
          <w:p>
            <w:r/>
            <w:r>
              <w:t>varchar(5)</w:t>
            </w:r>
          </w:p>
        </w:tc>
        <w:tc>
          <w:tcPr>
            <w:tcW w:type="dxa" w:w="2160"/>
          </w:tcPr>
          <w:p>
            <w:r/>
            <w:r>
              <w:t>NN, def. 'es'</w:t>
            </w:r>
          </w:p>
        </w:tc>
        <w:tc>
          <w:tcPr>
            <w:tcW w:type="dxa" w:w="2160"/>
          </w:tcPr>
          <w:p>
            <w:r/>
            <w:r>
              <w:t>Idioma de la interfaz (es/en).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cuenta desactivada por soporte.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 (soft delete).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refresh_tokens</w:t>
      </w:r>
      <w:r>
        <w:t xml:space="preserve"> — Sesiones activas (tokens de refresco)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sesión.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Dueño de la sesión.</w:t>
            </w:r>
          </w:p>
        </w:tc>
      </w:tr>
      <w:tr>
        <w:tc>
          <w:tcPr>
            <w:tcW w:type="dxa" w:w="2160"/>
          </w:tcPr>
          <w:p>
            <w:r/>
            <w:r>
              <w:t>family_id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Agrupa los tokens de un mismo inicio de sesión (rotación).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token. Nunca el token en claro.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(30 días).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revocación.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revoked_reason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Motivo: rotated/logout/reuse_detected/…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Emisión del token.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push_devices</w:t>
      </w:r>
      <w:r>
        <w:t xml:space="preserve"> — Dispositivos para notificaciones push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dispositivo.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Dueño actual del dispositivo.</w:t>
            </w:r>
          </w:p>
        </w:tc>
      </w:tr>
      <w:tr>
        <w:tc>
          <w:tcPr>
            <w:tcW w:type="dxa" w:w="2160"/>
          </w:tcPr>
          <w:p>
            <w:r/>
            <w:r>
              <w:t>push_token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Token de FCM/APNs. Identifica la instalación.</w:t>
            </w:r>
          </w:p>
        </w:tc>
      </w:tr>
      <w:tr>
        <w:tc>
          <w:tcPr>
            <w:tcW w:type="dxa" w:w="2160"/>
          </w:tcPr>
          <w:p>
            <w:r/>
            <w:r>
              <w:t>platform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ios / android / web.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sesión cerrada o token inválido.</w:t>
            </w:r>
          </w:p>
        </w:tc>
      </w:tr>
      <w:tr>
        <w:tc>
          <w:tcPr>
            <w:tcW w:type="dxa" w:w="2160"/>
          </w:tcPr>
          <w:p>
            <w:r/>
            <w:r>
              <w:t>last_seen_at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confirmación del dispositivo.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Primer registro.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patients</w:t>
      </w:r>
      <w:r>
        <w:t xml:space="preserve"> — Adultos mayores con expediente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adulto mayor.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adulto mayor.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rut_number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RUT sin puntos ni dígito verificador.</w:t>
            </w:r>
          </w:p>
        </w:tc>
      </w:tr>
      <w:tr>
        <w:tc>
          <w:tcPr>
            <w:tcW w:type="dxa" w:w="2160"/>
          </w:tcPr>
          <w:p>
            <w:r/>
            <w:r>
              <w:t>rut_dv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Dígito verificador (0-9 o K). Derivable de rut_number.</w:t>
            </w:r>
          </w:p>
        </w:tc>
      </w:tr>
      <w:tr>
        <w:tc>
          <w:tcPr>
            <w:tcW w:type="dxa" w:w="2160"/>
          </w:tcPr>
          <w:p>
            <w:r/>
            <w:r>
              <w:t>birth_date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nacimiento. La edad se calcula.</w:t>
            </w:r>
          </w:p>
        </w:tc>
      </w:tr>
      <w:tr>
        <w:tc>
          <w:tcPr>
            <w:tcW w:type="dxa" w:w="2160"/>
          </w:tcPr>
          <w:p>
            <w:r/>
            <w:r>
              <w:t>sex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 / F / O.</w:t>
            </w:r>
          </w:p>
        </w:tc>
      </w:tr>
      <w:tr>
        <w:tc>
          <w:tcPr>
            <w:tcW w:type="dxa" w:w="2160"/>
          </w:tcPr>
          <w:p>
            <w:r/>
            <w:r>
              <w:t>photo_url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Foto del paciente. Opcional.</w:t>
            </w:r>
          </w:p>
        </w:tc>
      </w:tr>
      <w:tr>
        <w:tc>
          <w:tcPr>
            <w:tcW w:type="dxa" w:w="2160"/>
          </w:tcPr>
          <w:p>
            <w:r/>
            <w:r>
              <w:t>timezone</w:t>
            </w:r>
          </w:p>
        </w:tc>
        <w:tc>
          <w:tcPr>
            <w:tcW w:type="dxa" w:w="2160"/>
          </w:tcPr>
          <w:p>
            <w:r/>
            <w:r>
              <w:t>varchar(50)</w:t>
            </w:r>
          </w:p>
        </w:tc>
        <w:tc>
          <w:tcPr>
            <w:tcW w:type="dxa" w:w="2160"/>
          </w:tcPr>
          <w:p>
            <w:r/>
            <w:r>
              <w:t>NN, def. 'America/Santiago'</w:t>
            </w:r>
          </w:p>
        </w:tc>
        <w:tc>
          <w:tcPr>
            <w:tcW w:type="dxa" w:w="2160"/>
          </w:tcPr>
          <w:p>
            <w:r/>
            <w:r>
              <w:t>Zona horaria IANA (horarios de medicación).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 del expediente.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patient_conditions</w:t>
      </w:r>
      <w:r>
        <w:t xml:space="preserve"> — Condiciones médicas del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condición.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condition</w:t>
            </w:r>
          </w:p>
        </w:tc>
        <w:tc>
          <w:tcPr>
            <w:tcW w:type="dxa" w:w="2160"/>
          </w:tcPr>
          <w:p>
            <w:r/>
            <w:r>
              <w:t>varchar(80)</w:t>
            </w:r>
          </w:p>
        </w:tc>
        <w:tc>
          <w:tcPr>
            <w:tcW w:type="dxa" w:w="2160"/>
          </w:tcPr>
          <w:p>
            <w:r/>
            <w:r>
              <w:t>NN, UK (patient_id, condition)</w:t>
            </w:r>
          </w:p>
        </w:tc>
        <w:tc>
          <w:tcPr>
            <w:tcW w:type="dxa" w:w="2160"/>
          </w:tcPr>
          <w:p>
            <w:r/>
            <w:r>
              <w:t>Padecimiento (ej. hipertension).</w:t>
            </w:r>
          </w:p>
        </w:tc>
      </w:tr>
      <w:tr>
        <w:tc>
          <w:tcPr>
            <w:tcW w:type="dxa" w:w="2160"/>
          </w:tcPr>
          <w:p>
            <w:r/>
            <w:r>
              <w:t>diagnosed_at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Fecha de diagnóstico. Opcional.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registro.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patient_members</w:t>
      </w:r>
      <w:r>
        <w:t xml:space="preserve"> — Vínculo usuario↔paciente con rol (control de acceso)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vínculo.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family / caregiver / doctor / elder.</w:t>
            </w:r>
          </w:p>
        </w:tc>
      </w:tr>
      <w:tr>
        <w:tc>
          <w:tcPr>
            <w:tcW w:type="dxa" w:w="2160"/>
          </w:tcPr>
          <w:p>
            <w:r/>
            <w:r>
              <w:t>is_owner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Administrador del paciente (solo rol family).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Alta del vínculo.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removed_at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del círculo. Conserva historial.</w:t>
            </w:r>
          </w:p>
        </w:tc>
      </w:tr>
    </w:tbl>
    <w:p/>
    <w:p>
      <w:r>
        <w:rPr>
          <w:i/>
        </w:rPr>
        <w:t>UK: (patient_id, user_id). Índice único de un solo owner por paciente.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invitations</w:t>
      </w:r>
      <w:r>
        <w:t xml:space="preserve"> — Invitaciones al círculo de cuidado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invitación.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al que se invita.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varchar(320)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Correo del invitado (puede no tener cuenta).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Rol a asignar: family/caregiver/doctor/elder.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 de invitación.</w:t>
            </w:r>
          </w:p>
        </w:tc>
      </w:tr>
      <w:tr>
        <w:tc>
          <w:tcPr>
            <w:tcW w:type="dxa" w:w="2160"/>
          </w:tcPr>
          <w:p>
            <w:r/>
            <w:r>
              <w:t>invited_by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Quién envió la invitación.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(7 días).</w:t>
            </w:r>
          </w:p>
        </w:tc>
      </w:tr>
      <w:tr>
        <w:tc>
          <w:tcPr>
            <w:tcW w:type="dxa" w:w="2160"/>
          </w:tcPr>
          <w:p>
            <w:r/>
            <w:r>
              <w:t>accepted_at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aceptación.</w:t>
            </w:r>
          </w:p>
        </w:tc>
      </w:tr>
      <w:tr>
        <w:tc>
          <w:tcPr>
            <w:tcW w:type="dxa" w:w="2160"/>
          </w:tcPr>
          <w:p>
            <w:r/>
            <w:r>
              <w:t>accepted_by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Usuario que aceptó.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Anulación antes de aceptar.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— Registro inmutable de auditoría (RNF-14)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auditoría.</w:t>
            </w:r>
          </w:p>
        </w:tc>
      </w:tr>
      <w:tr>
        <w:tc>
          <w:tcPr>
            <w:tcW w:type="dxa" w:w="2160"/>
          </w:tcPr>
          <w:p>
            <w:r/>
            <w:r>
              <w:t>actor_user_id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ejecutó la acción.</w:t>
            </w:r>
          </w:p>
        </w:tc>
      </w:tr>
      <w:tr>
        <w:tc>
          <w:tcPr>
            <w:tcW w:type="dxa" w:w="2160"/>
          </w:tcPr>
          <w:p>
            <w:r/>
            <w:r>
              <w:t>action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Verbo del dominio (view_record, dose_log, alert_ack…).</w:t>
            </w:r>
          </w:p>
        </w:tc>
      </w:tr>
      <w:tr>
        <w:tc>
          <w:tcPr>
            <w:tcW w:type="dxa" w:w="2160"/>
          </w:tcPr>
          <w:p>
            <w:r/>
            <w:r>
              <w:t>entity_type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Entidad afectada (tabla lógica).</w:t>
            </w:r>
          </w:p>
        </w:tc>
      </w:tr>
      <w:tr>
        <w:tc>
          <w:tcPr>
            <w:tcW w:type="dxa" w:w="2160"/>
          </w:tcPr>
          <w:p>
            <w:r/>
            <w:r>
              <w:t>entity_id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Identificador de la entidad afectada.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</w:t>
            </w:r>
          </w:p>
        </w:tc>
        <w:tc>
          <w:tcPr>
            <w:tcW w:type="dxa" w:w="2160"/>
          </w:tcPr>
          <w:p>
            <w:r/>
            <w:r>
              <w:t>Paciente del expediente afectado.</w:t>
            </w:r>
          </w:p>
        </w:tc>
      </w:tr>
      <w:tr>
        <w:tc>
          <w:tcPr>
            <w:tcW w:type="dxa" w:w="2160"/>
          </w:tcPr>
          <w:p>
            <w:r/>
            <w:r>
              <w:t>old_value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anterior en un cambio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new_value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nuevo en un cambio.</w:t>
            </w:r>
          </w:p>
        </w:tc>
      </w:tr>
      <w:tr>
        <w:tc>
          <w:tcPr>
            <w:tcW w:type="dxa" w:w="2160"/>
          </w:tcPr>
          <w:p>
            <w:r/>
            <w:r>
              <w:t>ip_address</w:t>
            </w:r>
          </w:p>
        </w:tc>
        <w:tc>
          <w:tcPr>
            <w:tcW w:type="dxa" w:w="2160"/>
          </w:tcPr>
          <w:p>
            <w:r/>
            <w:r>
              <w:t>inet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IP de origen de la petición.</w:t>
            </w:r>
          </w:p>
        </w:tc>
      </w:tr>
      <w:tr>
        <w:tc>
          <w:tcPr>
            <w:tcW w:type="dxa" w:w="2160"/>
          </w:tcPr>
          <w:p>
            <w:r/>
            <w:r>
              <w:t>user_agent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Agente de la petición.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r>
        <w:rPr>
          <w:i/>
        </w:rPr>
        <w:t>Tabla append-only: un trigger impide UPDATE y DELETE (inmutabilidad).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— Parámetros de negocio configurables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Clave del parámetro (ej. wearable_offline_minutes).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Valor del parámetro (como texto).</w:t>
            </w:r>
          </w:p>
        </w:tc>
      </w:tr>
      <w:tr>
        <w:tc>
          <w:tcPr>
            <w:tcW w:type="dxa" w:w="2160"/>
          </w:tcPr>
          <w:p>
            <w:r/>
            <w:r>
              <w:t>value_type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'int'</w:t>
            </w:r>
          </w:p>
        </w:tc>
        <w:tc>
          <w:tcPr>
            <w:tcW w:type="dxa" w:w="2160"/>
          </w:tcPr>
          <w:p>
            <w:r/>
            <w:r>
              <w:t>int/minutes/hours/decimal/bool/text.</w:t>
            </w:r>
          </w:p>
        </w:tc>
      </w:tr>
      <w:tr>
        <w:tc>
          <w:tcPr>
            <w:tcW w:type="dxa" w:w="2160"/>
          </w:tcPr>
          <w:p>
            <w:r/>
            <w:r>
              <w:t>description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Descripción del parámetro.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Último administrador que lo modificó.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2 — Vitals y wearable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— Catálogo de tipos de signos vitales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code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Código del tipo (heart_rate, spo2, …).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legible del signo vital.</w:t>
            </w:r>
          </w:p>
        </w:tc>
      </w:tr>
      <w:tr>
        <w:tc>
          <w:tcPr>
            <w:tcW w:type="dxa" w:w="2160"/>
          </w:tcPr>
          <w:p>
            <w:r/>
            <w:r>
              <w:t>unit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''</w:t>
            </w:r>
          </w:p>
        </w:tc>
        <w:tc>
          <w:tcPr>
            <w:tcW w:type="dxa" w:w="2160"/>
          </w:tcPr>
          <w:p>
            <w:r/>
            <w:r>
              <w:t>Unidad de presentación (bpm, %, mmHg…).</w:t>
            </w:r>
          </w:p>
        </w:tc>
      </w:tr>
      <w:tr>
        <w:tc>
          <w:tcPr>
            <w:tcW w:type="dxa" w:w="2160"/>
          </w:tcPr>
          <w:p>
            <w:r/>
            <w:r>
              <w:t>has_secondary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true solo para blood_pressure (sistólica + diastólica).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wearables</w:t>
      </w:r>
      <w:r>
        <w:t xml:space="preserve"> — Dispositivo vestible vinculado al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wearable.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dueño del dispositivo.</w:t>
            </w:r>
          </w:p>
        </w:tc>
      </w:tr>
      <w:tr>
        <w:tc>
          <w:tcPr>
            <w:tcW w:type="dxa" w:w="2160"/>
          </w:tcPr>
          <w:p>
            <w:r/>
            <w:r>
              <w:t>provider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'simulator'</w:t>
            </w:r>
          </w:p>
        </w:tc>
        <w:tc>
          <w:tcPr>
            <w:tcW w:type="dxa" w:w="2160"/>
          </w:tcPr>
          <w:p>
            <w:r/>
            <w:r>
              <w:t>Origen de datos: simulator/healthkit/garmin/…</w:t>
            </w:r>
          </w:p>
        </w:tc>
      </w:tr>
      <w:tr>
        <w:tc>
          <w:tcPr>
            <w:tcW w:type="dxa" w:w="2160"/>
          </w:tcPr>
          <w:p>
            <w:r/>
            <w:r>
              <w:t>serial_number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Número de serie del aparato.</w:t>
            </w:r>
          </w:p>
        </w:tc>
      </w:tr>
      <w:tr>
        <w:tc>
          <w:tcPr>
            <w:tcW w:type="dxa" w:w="2160"/>
          </w:tcPr>
          <w:p>
            <w:r/>
            <w:r>
              <w:t>model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Modelo del aparato.</w:t>
            </w:r>
          </w:p>
        </w:tc>
      </w:tr>
      <w:tr>
        <w:tc>
          <w:tcPr>
            <w:tcW w:type="dxa" w:w="2160"/>
          </w:tcPr>
          <w:p>
            <w:r/>
            <w:r>
              <w:t>battery_pct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0–100</w:t>
            </w:r>
          </w:p>
        </w:tc>
        <w:tc>
          <w:tcPr>
            <w:tcW w:type="dxa" w:w="2160"/>
          </w:tcPr>
          <w:p>
            <w:r/>
            <w:r>
              <w:t>Nivel de batería. NULL si no ha reportado.</w:t>
            </w:r>
          </w:p>
        </w:tc>
      </w:tr>
      <w:tr>
        <w:tc>
          <w:tcPr>
            <w:tcW w:type="dxa" w:w="2160"/>
          </w:tcPr>
          <w:p>
            <w:r/>
            <w:r>
              <w:t>last_sync_at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Última medición recibida (base de alerta offline).</w:t>
            </w:r>
          </w:p>
        </w:tc>
      </w:tr>
      <w:tr>
        <w:tc>
          <w:tcPr>
            <w:tcW w:type="dxa" w:w="2160"/>
          </w:tcPr>
          <w:p>
            <w:r/>
            <w:r>
              <w:t>unlinked_at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Desvinculación.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Vinculación.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parciales: un wearable activo por paciente; un serial activo por proveedor.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— Mediciones de signos vitales (particionada por mes)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(id, measured_at)</w:t>
            </w:r>
          </w:p>
        </w:tc>
        <w:tc>
          <w:tcPr>
            <w:tcW w:type="dxa" w:w="2160"/>
          </w:tcPr>
          <w:p>
            <w:r/>
            <w:r>
              <w:t>Identificador de la lectura.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0–100000</w:t>
            </w:r>
          </w:p>
        </w:tc>
        <w:tc>
          <w:tcPr>
            <w:tcW w:type="dxa" w:w="2160"/>
          </w:tcPr>
          <w:p>
            <w:r/>
            <w:r>
              <w:t>Valor principal (sistólica en presión).</w:t>
            </w:r>
          </w:p>
        </w:tc>
      </w:tr>
      <w:tr>
        <w:tc>
          <w:tcPr>
            <w:tcW w:type="dxa" w:w="2160"/>
          </w:tcPr>
          <w:p>
            <w:r/>
            <w:r>
              <w:t>value_secondary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solo blood_pressure</w:t>
            </w:r>
          </w:p>
        </w:tc>
        <w:tc>
          <w:tcPr>
            <w:tcW w:type="dxa" w:w="2160"/>
          </w:tcPr>
          <w:p>
            <w:r/>
            <w:r>
              <w:t>Diastólica. NULL en los demás tipos.</w:t>
            </w:r>
          </w:p>
        </w:tc>
      </w:tr>
      <w:tr>
        <w:tc>
          <w:tcPr>
            <w:tcW w:type="dxa" w:w="2160"/>
          </w:tcPr>
          <w:p>
            <w:r/>
            <w:r>
              <w:t>measured_at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parte de PK</w:t>
            </w:r>
          </w:p>
        </w:tc>
        <w:tc>
          <w:tcPr>
            <w:tcW w:type="dxa" w:w="2160"/>
          </w:tcPr>
          <w:p>
            <w:r/>
            <w:r>
              <w:t>Momento de la medición (columna de particionado).</w:t>
            </w:r>
          </w:p>
        </w:tc>
      </w:tr>
      <w:tr>
        <w:tc>
          <w:tcPr>
            <w:tcW w:type="dxa" w:w="2160"/>
          </w:tcPr>
          <w:p>
            <w:r/>
            <w:r>
              <w:t>source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wearable / manual.</w:t>
            </w:r>
          </w:p>
        </w:tc>
      </w:tr>
      <w:tr>
        <w:tc>
          <w:tcPr>
            <w:tcW w:type="dxa" w:w="2160"/>
          </w:tcPr>
          <w:p>
            <w:r/>
            <w:r>
              <w:t>meta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adicionales del proveedor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Llegada al servidor.</w:t>
            </w:r>
          </w:p>
        </w:tc>
      </w:tr>
    </w:tbl>
    <w:p/>
    <w:p>
      <w:r>
        <w:rPr>
          <w:i/>
        </w:rPr>
        <w:t>UK natural: (patient_id, type, measured_at, source) → idempotencia.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vital_thresholds</w:t>
      </w:r>
      <w:r>
        <w:t xml:space="preserve"> — Rango normal por paciente y tipo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umbral.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min_value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inferior. NULL si solo hay techo.</w:t>
            </w:r>
          </w:p>
        </w:tc>
      </w:tr>
      <w:tr>
        <w:tc>
          <w:tcPr>
            <w:tcW w:type="dxa" w:w="2160"/>
          </w:tcPr>
          <w:p>
            <w:r/>
            <w:r>
              <w:t>max_value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superior. NULL si solo hay piso.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configuró el umbral.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UK: (patient_id, type). CHECK: min &lt; max; al menos uno no nulo.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— Historial diario del semáforo de bienestar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snapshot.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snapshot_date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NN, UK (patient_id, date)</w:t>
            </w:r>
          </w:p>
        </w:tc>
        <w:tc>
          <w:tcPr>
            <w:tcW w:type="dxa" w:w="2160"/>
          </w:tcPr>
          <w:p>
            <w:r/>
            <w:r>
              <w:t>Día de la fotografía.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ok / warning / attention.</w:t>
            </w:r>
          </w:p>
        </w:tc>
      </w:tr>
      <w:tr>
        <w:tc>
          <w:tcPr>
            <w:tcW w:type="dxa" w:w="2160"/>
          </w:tcPr>
          <w:p>
            <w:r/>
            <w:r>
              <w:t>reasons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  <w:r>
              <w:t>NN, def. '[]'</w:t>
            </w:r>
          </w:p>
        </w:tc>
        <w:tc>
          <w:tcPr>
            <w:tcW w:type="dxa" w:w="2160"/>
          </w:tcPr>
          <w:p>
            <w:r/>
            <w:r>
              <w:t>Motivos legibles del estado (arreglo).</w:t>
            </w:r>
          </w:p>
        </w:tc>
      </w:tr>
      <w:tr>
        <w:tc>
          <w:tcPr>
            <w:tcW w:type="dxa" w:w="2160"/>
          </w:tcPr>
          <w:p>
            <w:r/>
            <w:r>
              <w:t>vitals_out_of_range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vitales fuera de rango ese día.</w:t>
            </w:r>
          </w:p>
        </w:tc>
      </w:tr>
      <w:tr>
        <w:tc>
          <w:tcPr>
            <w:tcW w:type="dxa" w:w="2160"/>
          </w:tcPr>
          <w:p>
            <w:r/>
            <w:r>
              <w:t>doses_missed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dosis omitidas ese día.</w:t>
            </w:r>
          </w:p>
        </w:tc>
      </w:tr>
      <w:tr>
        <w:tc>
          <w:tcPr>
            <w:tcW w:type="dxa" w:w="2160"/>
          </w:tcPr>
          <w:p>
            <w:r/>
            <w:r>
              <w:t>active_alerts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alertas activas ese día.</w:t>
            </w:r>
          </w:p>
        </w:tc>
      </w:tr>
      <w:tr>
        <w:tc>
          <w:tcPr>
            <w:tcW w:type="dxa" w:w="2160"/>
          </w:tcPr>
          <w:p>
            <w:r/>
            <w:r>
              <w:t>computed_at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cálculo.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3 — Medicación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medications</w:t>
      </w:r>
      <w:r>
        <w:t xml:space="preserve"> — Plan de medicamento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medicamento.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del medicamento.</w:t>
            </w:r>
          </w:p>
        </w:tc>
      </w:tr>
      <w:tr>
        <w:tc>
          <w:tcPr>
            <w:tcW w:type="dxa" w:w="2160"/>
          </w:tcPr>
          <w:p>
            <w:r/>
            <w:r>
              <w:t>dose_amount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&gt; 0</w:t>
            </w:r>
          </w:p>
        </w:tc>
        <w:tc>
          <w:tcPr>
            <w:tcW w:type="dxa" w:w="2160"/>
          </w:tcPr>
          <w:p>
            <w:r/>
            <w:r>
              <w:t>Cantidad de la dosis (ej. 50).</w:t>
            </w:r>
          </w:p>
        </w:tc>
      </w:tr>
      <w:tr>
        <w:tc>
          <w:tcPr>
            <w:tcW w:type="dxa" w:w="2160"/>
          </w:tcPr>
          <w:p>
            <w:r/>
            <w:r>
              <w:t>dose_unit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Unidad: mg/g/ml/mcg/UI/gotas/…</w:t>
            </w:r>
          </w:p>
        </w:tc>
      </w:tr>
      <w:tr>
        <w:tc>
          <w:tcPr>
            <w:tcW w:type="dxa" w:w="2160"/>
          </w:tcPr>
          <w:p>
            <w:r/>
            <w:r>
              <w:t>dose_text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Presentación (cantidad + unidad). Solo lectura.</w:t>
            </w:r>
          </w:p>
        </w:tc>
      </w:tr>
      <w:tr>
        <w:tc>
          <w:tcPr>
            <w:tcW w:type="dxa" w:w="2160"/>
          </w:tcPr>
          <w:p>
            <w:r/>
            <w:r>
              <w:t>instructions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Instrucciones de administración.</w:t>
            </w:r>
          </w:p>
        </w:tc>
      </w:tr>
      <w:tr>
        <w:tc>
          <w:tcPr>
            <w:tcW w:type="dxa" w:w="2160"/>
          </w:tcPr>
          <w:p>
            <w:r/>
            <w:r>
              <w:t>start_date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del tratamiento.</w:t>
            </w:r>
          </w:p>
        </w:tc>
      </w:tr>
      <w:tr>
        <w:tc>
          <w:tcPr>
            <w:tcW w:type="dxa" w:w="2160"/>
          </w:tcPr>
          <w:p>
            <w:r/>
            <w:r>
              <w:t>end_date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tratamiento. Opcional.</w:t>
            </w:r>
          </w:p>
        </w:tc>
      </w:tr>
      <w:tr>
        <w:tc>
          <w:tcPr>
            <w:tcW w:type="dxa" w:w="2160"/>
          </w:tcPr>
          <w:p>
            <w:r/>
            <w:r>
              <w:t>grace_window_min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60 (5–720)</w:t>
            </w:r>
          </w:p>
        </w:tc>
        <w:tc>
          <w:tcPr>
            <w:tcW w:type="dxa" w:w="2160"/>
          </w:tcPr>
          <w:p>
            <w:r/>
            <w:r>
              <w:t>Tolerancia antes de marcar como omitida.</w:t>
            </w:r>
          </w:p>
        </w:tc>
      </w:tr>
      <w:tr>
        <w:tc>
          <w:tcPr>
            <w:tcW w:type="dxa" w:w="2160"/>
          </w:tcPr>
          <w:p>
            <w:r/>
            <w:r>
              <w:t>prescribed_by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Médico o cuidadora que definió el plan.</w:t>
            </w:r>
          </w:p>
        </w:tc>
      </w:tr>
      <w:tr>
        <w:tc>
          <w:tcPr>
            <w:tcW w:type="dxa" w:w="2160"/>
          </w:tcPr>
          <w:p>
            <w:r/>
            <w:r>
              <w:t>discontinued_at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Descontinuación.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medication_times</w:t>
      </w:r>
      <w:r>
        <w:t xml:space="preserve"> — Horarios de toma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horario.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(RESTRICT), NN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time_of_day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NN, UK (medication_id, time_of_day)</w:t>
            </w:r>
          </w:p>
        </w:tc>
        <w:tc>
          <w:tcPr>
            <w:tcW w:type="dxa" w:w="2160"/>
          </w:tcPr>
          <w:p>
            <w:r/>
            <w:r>
              <w:t>Hora de toma (HH:MM).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medication_days</w:t>
      </w:r>
      <w:r>
        <w:t xml:space="preserve"> — Días habilitados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(medication_id, day_of_week), FK → medications (RESTRICT)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day_of_week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PK, CHECK 1–7</w:t>
            </w:r>
          </w:p>
        </w:tc>
        <w:tc>
          <w:tcPr>
            <w:tcW w:type="dxa" w:w="2160"/>
          </w:tcPr>
          <w:p>
            <w:r/>
            <w:r>
              <w:t>1=lunes … 7=domingo (ISO 8601).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— Tomas concretas programadas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toma.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(RESTRICT), NN</w:t>
            </w:r>
          </w:p>
        </w:tc>
        <w:tc>
          <w:tcPr>
            <w:tcW w:type="dxa" w:w="2160"/>
          </w:tcPr>
          <w:p>
            <w:r/>
            <w:r>
              <w:t>Medicamento del que proviene.</w:t>
            </w:r>
          </w:p>
        </w:tc>
      </w:tr>
      <w:tr>
        <w:tc>
          <w:tcPr>
            <w:tcW w:type="dxa" w:w="2160"/>
          </w:tcPr>
          <w:p>
            <w:r/>
            <w:r>
              <w:t>scheduled_at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UK (medication_id, scheduled_at)</w:t>
            </w:r>
          </w:p>
        </w:tc>
        <w:tc>
          <w:tcPr>
            <w:tcW w:type="dxa" w:w="2160"/>
          </w:tcPr>
          <w:p>
            <w:r/>
            <w:r>
              <w:t>Cuándo DEBÍA administrarse (planificado).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'pending'</w:t>
            </w:r>
          </w:p>
        </w:tc>
        <w:tc>
          <w:tcPr>
            <w:tcW w:type="dxa" w:w="2160"/>
          </w:tcPr>
          <w:p>
            <w:r/>
            <w:r>
              <w:t>pending/taken/skipped/postponed/missed.</w:t>
            </w:r>
          </w:p>
        </w:tc>
      </w:tr>
      <w:tr>
        <w:tc>
          <w:tcPr>
            <w:tcW w:type="dxa" w:w="2160"/>
          </w:tcPr>
          <w:p>
            <w:r/>
            <w:r>
              <w:t>administered_at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CHECK si taken; ≥ scheduled_at</w:t>
            </w:r>
          </w:p>
        </w:tc>
        <w:tc>
          <w:tcPr>
            <w:tcW w:type="dxa" w:w="2160"/>
          </w:tcPr>
          <w:p>
            <w:r/>
            <w:r>
              <w:t>Cuándo se administró REALMENTE (hecho clínico).</w:t>
            </w:r>
          </w:p>
        </w:tc>
      </w:tr>
      <w:tr>
        <w:tc>
          <w:tcPr>
            <w:tcW w:type="dxa" w:w="2160"/>
          </w:tcPr>
          <w:p>
            <w:r/>
            <w:r>
              <w:t>logged_by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registró la toma (responsabilidad).</w:t>
            </w:r>
          </w:p>
        </w:tc>
      </w:tr>
      <w:tr>
        <w:tc>
          <w:tcPr>
            <w:tcW w:type="dxa" w:w="2160"/>
          </w:tcPr>
          <w:p>
            <w:r/>
            <w:r>
              <w:t>logged_at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Cuándo se REGISTRÓ en la app (acto administrativo).</w:t>
            </w:r>
          </w:p>
        </w:tc>
      </w:tr>
      <w:tr>
        <w:tc>
          <w:tcPr>
            <w:tcW w:type="dxa" w:w="2160"/>
          </w:tcPr>
          <w:p>
            <w:r/>
            <w:r>
              <w:t>reason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  <w:r>
              <w:t>obligatorio si skipped</w:t>
            </w:r>
          </w:p>
        </w:tc>
        <w:tc>
          <w:tcPr>
            <w:tcW w:type="dxa" w:w="2160"/>
          </w:tcPr>
          <w:p>
            <w:r/>
            <w:r>
              <w:t>Motivo de la omisión.</w:t>
            </w:r>
          </w:p>
        </w:tc>
      </w:tr>
      <w:tr>
        <w:tc>
          <w:tcPr>
            <w:tcW w:type="dxa" w:w="2160"/>
          </w:tcPr>
          <w:p>
            <w:r/>
            <w:r>
              <w:t>postponed_until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≤ scheduled_at + 4h</w:t>
            </w:r>
          </w:p>
        </w:tc>
        <w:tc>
          <w:tcPr>
            <w:tcW w:type="dxa" w:w="2160"/>
          </w:tcPr>
          <w:p>
            <w:r/>
            <w:r>
              <w:t>Nueva hora tras posponer.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Generación de la toma.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4 — Alertas y emergencias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alerts</w:t>
      </w:r>
      <w:r>
        <w:t xml:space="preserve"> — Alertas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alerta.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fall/vital_out_of_range/missed_dose/sos/wearable_offline.</w:t>
            </w:r>
          </w:p>
        </w:tc>
      </w:tr>
      <w:tr>
        <w:tc>
          <w:tcPr>
            <w:tcW w:type="dxa" w:w="2160"/>
          </w:tcPr>
          <w:p>
            <w:r/>
            <w:r>
              <w:t>severity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info / warning / critical.</w:t>
            </w:r>
          </w:p>
        </w:tc>
      </w:tr>
      <w:tr>
        <w:tc>
          <w:tcPr>
            <w:tcW w:type="dxa" w:w="2160"/>
          </w:tcPr>
          <w:p>
            <w:r/>
            <w:r>
              <w:t>title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Título de la alerta.</w:t>
            </w:r>
          </w:p>
        </w:tc>
      </w:tr>
      <w:tr>
        <w:tc>
          <w:tcPr>
            <w:tcW w:type="dxa" w:w="2160"/>
          </w:tcPr>
          <w:p>
            <w:r/>
            <w:r>
              <w:t>detail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Detalle legible.</w:t>
            </w:r>
          </w:p>
        </w:tc>
      </w:tr>
      <w:tr>
        <w:tc>
          <w:tcPr>
            <w:tcW w:type="dxa" w:w="2160"/>
          </w:tcPr>
          <w:p>
            <w:r/>
            <w:r>
              <w:t>payload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que la originaron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dedup_key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Clave de deduplicación (misma causa en 30 min).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 / acknowledged / resolved.</w:t>
            </w:r>
          </w:p>
        </w:tc>
      </w:tr>
      <w:tr>
        <w:tc>
          <w:tcPr>
            <w:tcW w:type="dxa" w:w="2160"/>
          </w:tcPr>
          <w:p>
            <w:r/>
            <w:r>
              <w:t>acknowledged_by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atendió.</w:t>
            </w:r>
          </w:p>
        </w:tc>
      </w:tr>
      <w:tr>
        <w:tc>
          <w:tcPr>
            <w:tcW w:type="dxa" w:w="2160"/>
          </w:tcPr>
          <w:p>
            <w:r/>
            <w:r>
              <w:t>acknowledged_at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atención.</w:t>
            </w:r>
          </w:p>
        </w:tc>
      </w:tr>
      <w:tr>
        <w:tc>
          <w:tcPr>
            <w:tcW w:type="dxa" w:w="2160"/>
          </w:tcPr>
          <w:p>
            <w:r/>
            <w:r>
              <w:t>resolved_by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resolvió.</w:t>
            </w:r>
          </w:p>
        </w:tc>
      </w:tr>
      <w:tr>
        <w:tc>
          <w:tcPr>
            <w:tcW w:type="dxa" w:w="2160"/>
          </w:tcPr>
          <w:p>
            <w:r/>
            <w:r>
              <w:t>resolved_at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resolución.</w:t>
            </w:r>
          </w:p>
        </w:tc>
      </w:tr>
      <w:tr>
        <w:tc>
          <w:tcPr>
            <w:tcW w:type="dxa" w:w="2160"/>
          </w:tcPr>
          <w:p>
            <w:r/>
            <w:r>
              <w:t>resolution_note</w:t>
            </w:r>
          </w:p>
        </w:tc>
        <w:tc>
          <w:tcPr>
            <w:tcW w:type="dxa" w:w="2160"/>
          </w:tcPr>
          <w:p>
            <w:r/>
            <w:r>
              <w:t>varchar(500)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 resolución.</w:t>
            </w:r>
          </w:p>
        </w:tc>
      </w:tr>
      <w:tr>
        <w:tc>
          <w:tcPr>
            <w:tcW w:type="dxa" w:w="2160"/>
          </w:tcPr>
          <w:p>
            <w:r/>
            <w:r>
              <w:t>escalated_at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escalamiento (RF-52).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coherencia de estados (no se resuelve antes de atender).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alert_deliveries</w:t>
      </w:r>
      <w:r>
        <w:t xml:space="preserve"> — Entregas de notificación por alerta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entrega.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(RESTRICT), NN</w:t>
            </w:r>
          </w:p>
        </w:tc>
        <w:tc>
          <w:tcPr>
            <w:tcW w:type="dxa" w:w="2160"/>
          </w:tcPr>
          <w:p>
            <w:r/>
            <w:r>
              <w:t>Alerta notificada.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Destinatario.</w:t>
            </w:r>
          </w:p>
        </w:tc>
      </w:tr>
      <w:tr>
        <w:tc>
          <w:tcPr>
            <w:tcW w:type="dxa" w:w="2160"/>
          </w:tcPr>
          <w:p>
            <w:r/>
            <w:r>
              <w:t>push_device_id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push_devices (RESTRICT)</w:t>
            </w:r>
          </w:p>
        </w:tc>
        <w:tc>
          <w:tcPr>
            <w:tcW w:type="dxa" w:w="2160"/>
          </w:tcPr>
          <w:p>
            <w:r/>
            <w:r>
              <w:t>Dispositivo al que se envió.</w:t>
            </w:r>
          </w:p>
        </w:tc>
      </w:tr>
      <w:tr>
        <w:tc>
          <w:tcPr>
            <w:tcW w:type="dxa" w:w="2160"/>
          </w:tcPr>
          <w:p>
            <w:r/>
            <w:r>
              <w:t>channel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'push'</w:t>
            </w:r>
          </w:p>
        </w:tc>
        <w:tc>
          <w:tcPr>
            <w:tcW w:type="dxa" w:w="2160"/>
          </w:tcPr>
          <w:p>
            <w:r/>
            <w:r>
              <w:t>push/email/sms/in_app.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'queued'</w:t>
            </w:r>
          </w:p>
        </w:tc>
        <w:tc>
          <w:tcPr>
            <w:tcW w:type="dxa" w:w="2160"/>
          </w:tcPr>
          <w:p>
            <w:r/>
            <w:r>
              <w:t>queued/sent/delivered/opened/failed.</w:t>
            </w:r>
          </w:p>
        </w:tc>
      </w:tr>
      <w:tr>
        <w:tc>
          <w:tcPr>
            <w:tcW w:type="dxa" w:w="2160"/>
          </w:tcPr>
          <w:p>
            <w:r/>
            <w:r>
              <w:t>sent_at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Enviado al proveedor.</w:t>
            </w:r>
          </w:p>
        </w:tc>
      </w:tr>
      <w:tr>
        <w:tc>
          <w:tcPr>
            <w:tcW w:type="dxa" w:w="2160"/>
          </w:tcPr>
          <w:p>
            <w:r/>
            <w:r>
              <w:t>delivered_at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Confirmado al dispositivo (mide latencia RNF-05).</w:t>
            </w:r>
          </w:p>
        </w:tc>
      </w:tr>
      <w:tr>
        <w:tc>
          <w:tcPr>
            <w:tcW w:type="dxa" w:w="2160"/>
          </w:tcPr>
          <w:p>
            <w:r/>
            <w:r>
              <w:t>opened_at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Abierto por el usuario.</w:t>
            </w:r>
          </w:p>
        </w:tc>
      </w:tr>
      <w:tr>
        <w:tc>
          <w:tcPr>
            <w:tcW w:type="dxa" w:w="2160"/>
          </w:tcPr>
          <w:p>
            <w:r/>
            <w:r>
              <w:t>error_detail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obligatorio si failed</w:t>
            </w:r>
          </w:p>
        </w:tc>
        <w:tc>
          <w:tcPr>
            <w:tcW w:type="dxa" w:w="2160"/>
          </w:tcPr>
          <w:p>
            <w:r/>
            <w:r>
              <w:t>Detalle del fallo.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notification_settings</w:t>
      </w:r>
      <w:r>
        <w:t xml:space="preserve"> — Preferencias de notificación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alert_type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UK (user_id, alert_type)</w:t>
            </w:r>
          </w:p>
        </w:tc>
        <w:tc>
          <w:tcPr>
            <w:tcW w:type="dxa" w:w="2160"/>
          </w:tcPr>
          <w:p>
            <w:r/>
            <w:r>
              <w:t>Tipo de alerta.</w:t>
            </w:r>
          </w:p>
        </w:tc>
      </w:tr>
      <w:tr>
        <w:tc>
          <w:tcPr>
            <w:tcW w:type="dxa" w:w="2160"/>
          </w:tcPr>
          <w:p>
            <w:r/>
            <w:r>
              <w:t>push_enabled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Si recibe push de ese tipo.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fall y sos no se pueden desactivar.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— Contactos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contacto.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contacto.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contacto.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relationship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Relación con el paciente.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NN, formato +E.164</w:t>
            </w:r>
          </w:p>
        </w:tc>
        <w:tc>
          <w:tcPr>
            <w:tcW w:type="dxa" w:w="2160"/>
          </w:tcPr>
          <w:p>
            <w:r/>
            <w:r>
              <w:t>Teléfono de contacto.</w:t>
            </w:r>
          </w:p>
        </w:tc>
      </w:tr>
      <w:tr>
        <w:tc>
          <w:tcPr>
            <w:tcW w:type="dxa" w:w="2160"/>
          </w:tcPr>
          <w:p>
            <w:r/>
            <w:r>
              <w:t>escalation_order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1 (1–10)</w:t>
            </w:r>
          </w:p>
        </w:tc>
        <w:tc>
          <w:tcPr>
            <w:tcW w:type="dxa" w:w="2160"/>
          </w:tcPr>
          <w:p>
            <w:r/>
            <w:r>
              <w:t>Prioridad de aviso (1 = primero).</w:t>
            </w:r>
          </w:p>
        </w:tc>
      </w:tr>
      <w:tr>
        <w:tc>
          <w:tcPr>
            <w:tcW w:type="dxa" w:w="2160"/>
          </w:tcPr>
          <w:p>
            <w:r/>
            <w:r>
              <w:t>notes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sos_events</w:t>
      </w:r>
      <w:r>
        <w:t xml:space="preserve"> — Activaciones del botón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evento SOS.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triggered_by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activó el SOS.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(RESTRICT), NN, UK</w:t>
            </w:r>
          </w:p>
        </w:tc>
        <w:tc>
          <w:tcPr>
            <w:tcW w:type="dxa" w:w="2160"/>
          </w:tcPr>
          <w:p>
            <w:r/>
            <w:r>
              <w:t>Alerta crítica generada (una por SOS).</w:t>
            </w:r>
          </w:p>
        </w:tc>
      </w:tr>
      <w:tr>
        <w:tc>
          <w:tcPr>
            <w:tcW w:type="dxa" w:w="2160"/>
          </w:tcPr>
          <w:p>
            <w:r/>
            <w:r>
              <w:t>note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del evento.</w:t>
            </w:r>
          </w:p>
        </w:tc>
      </w:tr>
      <w:tr>
        <w:tc>
          <w:tcPr>
            <w:tcW w:type="dxa" w:w="2160"/>
          </w:tcPr>
          <w:p>
            <w:r/>
            <w:r>
              <w:t>latitude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−90 a 90</w:t>
            </w:r>
          </w:p>
        </w:tc>
        <w:tc>
          <w:tcPr>
            <w:tcW w:type="dxa" w:w="2160"/>
          </w:tcPr>
          <w:p>
            <w:r/>
            <w:r>
              <w:t>Latitud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longitude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−180 a 180</w:t>
            </w:r>
          </w:p>
        </w:tc>
        <w:tc>
          <w:tcPr>
            <w:tcW w:type="dxa" w:w="2160"/>
          </w:tcPr>
          <w:p>
            <w:r/>
            <w:r>
              <w:t>Longitud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5 — Negocio (freemium)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subscriptions</w:t>
      </w:r>
      <w:r>
        <w:t xml:space="preserve"> — Suscripciones del modelo freemium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suscripción.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Usuario suscrito (cuidadora en v1).</w:t>
            </w:r>
          </w:p>
        </w:tc>
      </w:tr>
      <w:tr>
        <w:tc>
          <w:tcPr>
            <w:tcW w:type="dxa" w:w="2160"/>
          </w:tcPr>
          <w:p>
            <w:r/>
            <w:r>
              <w:t>plan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free / premium.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active/past_due/cancelled/expired.</w:t>
            </w:r>
          </w:p>
        </w:tc>
      </w:tr>
      <w:tr>
        <w:tc>
          <w:tcPr>
            <w:tcW w:type="dxa" w:w="2160"/>
          </w:tcPr>
          <w:p>
            <w:r/>
            <w:r>
              <w:t>started_at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 la suscripción.</w:t>
            </w:r>
          </w:p>
        </w:tc>
      </w:tr>
      <w:tr>
        <w:tc>
          <w:tcPr>
            <w:tcW w:type="dxa" w:w="2160"/>
          </w:tcPr>
          <w:p>
            <w:r/>
            <w:r>
              <w:t>current_period_end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período vigente.</w:t>
            </w:r>
          </w:p>
        </w:tc>
      </w:tr>
      <w:tr>
        <w:tc>
          <w:tcPr>
            <w:tcW w:type="dxa" w:w="2160"/>
          </w:tcPr>
          <w:p>
            <w:r/>
            <w:r>
              <w:t>cancelled_at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obligatorio si cancelled</w:t>
            </w:r>
          </w:p>
        </w:tc>
        <w:tc>
          <w:tcPr>
            <w:tcW w:type="dxa" w:w="2160"/>
          </w:tcPr>
          <w:p>
            <w:r/>
            <w:r>
              <w:t>Momento de cancelación.</w:t>
            </w:r>
          </w:p>
        </w:tc>
      </w:tr>
      <w:tr>
        <w:tc>
          <w:tcPr>
            <w:tcW w:type="dxa" w:w="2160"/>
          </w:tcPr>
          <w:p>
            <w:r/>
            <w:r>
              <w:t>provider_ref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Referencia opaca a la pasarela (sin datos de tarjeta).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parcial: una suscripción activa por usuario.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Resumen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Nº</w:t>
            </w:r>
          </w:p>
        </w:tc>
      </w:tr>
      <w:tr>
        <w:tc>
          <w:tcPr>
            <w:tcW w:type="dxa" w:w="2880"/>
          </w:tcPr>
          <w:p>
            <w:r/>
            <w:r>
              <w:t>1 · Identidad y acceso</w:t>
            </w:r>
          </w:p>
        </w:tc>
        <w:tc>
          <w:tcPr>
            <w:tcW w:type="dxa" w:w="2880"/>
          </w:tcPr>
          <w:p>
            <w:r/>
            <w:r>
              <w:t>users, refresh_tokens, push_devices, patients, patient_conditions, patient_members, invitations, audit_log, system_parameters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</w:tr>
      <w:tr>
        <w:tc>
          <w:tcPr>
            <w:tcW w:type="dxa" w:w="2880"/>
          </w:tcPr>
          <w:p>
            <w:r/>
            <w:r>
              <w:t>2 · Vitals y wearable</w:t>
            </w:r>
          </w:p>
        </w:tc>
        <w:tc>
          <w:tcPr>
            <w:tcW w:type="dxa" w:w="2880"/>
          </w:tcPr>
          <w:p>
            <w:r/>
            <w:r>
              <w:t>vital_types, wearables, vital_readings, vital_thresholds, wellbeing_snapshots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3 · Medicación</w:t>
            </w:r>
          </w:p>
        </w:tc>
        <w:tc>
          <w:tcPr>
            <w:tcW w:type="dxa" w:w="2880"/>
          </w:tcPr>
          <w:p>
            <w:r/>
            <w:r>
              <w:t>medications, medication_times, medication_days, scheduled_doses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</w:tr>
      <w:tr>
        <w:tc>
          <w:tcPr>
            <w:tcW w:type="dxa" w:w="2880"/>
          </w:tcPr>
          <w:p>
            <w:r/>
            <w:r>
              <w:t>4 · Alertas y emergencias</w:t>
            </w:r>
          </w:p>
        </w:tc>
        <w:tc>
          <w:tcPr>
            <w:tcW w:type="dxa" w:w="2880"/>
          </w:tcPr>
          <w:p>
            <w:r/>
            <w:r>
              <w:t>alerts, alert_deliveries, notification_settings, emergency_contacts, sos_events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5 · Negocio (freemium)</w:t>
            </w:r>
          </w:p>
        </w:tc>
        <w:tc>
          <w:tcPr>
            <w:tcW w:type="dxa" w:w="2880"/>
          </w:tcPr>
          <w:p>
            <w:r/>
            <w:r>
              <w:t>subscriptions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24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