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pStyle w:val="Title"/>
        <w:jc w:val="center"/>
      </w:pPr>
      <w:r>
        <w:rPr>
          <w:b w:val="0"/>
          <w:i w:val="0"/>
        </w:rPr>
        <w:t>Guía para construir el lienzo Canvas — AedesAlert Cali</w:t>
      </w:r>
    </w:p>
    <w:p/>
    <w:p/>
    <w:p/>
    <w:p/>
    <w:p>
      <w:pPr>
        <w:jc w:val="center"/>
      </w:pPr>
      <w:r>
        <w:rPr>
          <w:b w:val="0"/>
          <w:i w:val="0"/>
        </w:rPr>
        <w:t>Juan Diego Nieto</w:t>
      </w:r>
    </w:p>
    <w:p>
      <w:pPr>
        <w:jc w:val="center"/>
      </w:pPr>
      <w:r>
        <w:rPr>
          <w:b w:val="0"/>
          <w:i w:val="0"/>
        </w:rPr>
        <w:t>Ideación, Emprendimiento y Desarrollo Tecnológico</w:t>
      </w:r>
    </w:p>
    <w:p>
      <w:pPr>
        <w:jc w:val="center"/>
      </w:pPr>
      <w:r>
        <w:rPr>
          <w:b w:val="0"/>
          <w:i w:val="0"/>
        </w:rPr>
        <w:t>Ingeniería de Sistemas</w:t>
      </w:r>
    </w:p>
    <w:p>
      <w:pPr>
        <w:jc w:val="center"/>
      </w:pPr>
      <w:r>
        <w:rPr>
          <w:b w:val="0"/>
          <w:i w:val="0"/>
        </w:rPr>
        <w:t>Universidad Cooperativa de Colombia (UCC), sede Cali</w:t>
      </w:r>
    </w:p>
    <w:p>
      <w:pPr>
        <w:jc w:val="center"/>
      </w:pPr>
      <w:r>
        <w:rPr>
          <w:b w:val="0"/>
          <w:i w:val="0"/>
        </w:rPr>
        <w:t>Octubre de 2026</w:t>
      </w:r>
    </w:p>
    <w:p>
      <w:r>
        <w:br w:type="page"/>
      </w:r>
    </w:p>
    <w:p>
      <w:pPr>
        <w:pStyle w:val="Heading1"/>
      </w:pPr>
      <w:r>
        <w:t>Cómo usar esta guía</w:t>
      </w:r>
    </w:p>
    <w:p>
      <w:pPr>
        <w:pStyle w:val="ListBullet"/>
      </w:pPr>
      <w:r>
        <w:rPr>
          <w:b w:val="0"/>
          <w:i w:val="0"/>
        </w:rPr>
        <w:t>Tú haces el lienzo en tu plantilla (</w:t>
      </w:r>
      <w:r>
        <w:rPr>
          <w:b w:val="0"/>
          <w:i w:val="0"/>
        </w:rPr>
        <w:t>insumos/modelo-canvas.png</w:t>
      </w:r>
      <w:r>
        <w:rPr>
          <w:b w:val="0"/>
          <w:i w:val="0"/>
        </w:rPr>
        <w:t>); esta guía te dice qué poner en cada recuadro, con qué datos y qué evitar.</w:t>
      </w:r>
    </w:p>
    <w:p>
      <w:pPr>
        <w:pStyle w:val="ListBullet"/>
      </w:pPr>
      <w:r>
        <w:rPr>
          <w:b w:val="0"/>
          <w:i w:val="0"/>
        </w:rPr>
        <w:t xml:space="preserve">Hay una sección por bloque, en el orden que pide la pauta (4 → 7 → 6 → 5 → 9 → 3 → 2 → 1 → 8). Cada sección trae: qué pide el bloque, preguntas guía, datos útiles con fuente, errores comunes y una </w:t>
      </w:r>
      <w:r>
        <w:rPr>
          <w:b/>
          <w:i w:val="0"/>
        </w:rPr>
        <w:t>propuesta de referencia</w:t>
      </w:r>
      <w:r>
        <w:rPr>
          <w:b w:val="0"/>
          <w:i w:val="0"/>
        </w:rPr>
        <w:t xml:space="preserve"> (en español y en inglés) que puedes copiar tal cual o cambiar.</w:t>
      </w:r>
    </w:p>
    <w:p>
      <w:pPr>
        <w:pStyle w:val="ListBullet"/>
      </w:pPr>
      <w:r>
        <w:rPr>
          <w:b w:val="0"/>
          <w:i w:val="0"/>
        </w:rPr>
        <w:t xml:space="preserve">El </w:t>
      </w:r>
      <w:r>
        <w:rPr>
          <w:b/>
          <w:i w:val="0"/>
        </w:rPr>
        <w:t>texto corto para pegar</w:t>
      </w:r>
      <w:r>
        <w:rPr>
          <w:b w:val="0"/>
          <w:i w:val="0"/>
        </w:rPr>
        <w:t xml:space="preserve"> va en un recuadro con borde: es la versión en viñetas que cabe en el recuadro de la plantilla (máximo 45 palabras; 60 en Socios clave y Segmentos de clientes, que son recuadros altos). Debajo está la versión corta en inglés, para la diapositiva.</w:t>
      </w:r>
    </w:p>
    <w:p>
      <w:pPr>
        <w:pStyle w:val="ListBullet"/>
      </w:pPr>
      <w:r>
        <w:rPr>
          <w:b w:val="0"/>
          <w:i w:val="0"/>
        </w:rPr>
        <w:t>Al final está el chequeo de coherencia para revisar antes de entregar.</w:t>
      </w:r>
    </w:p>
    <w:p>
      <w:pPr>
        <w:pStyle w:val="ListBullet"/>
      </w:pPr>
      <w:r>
        <w:rPr>
          <w:b w:val="0"/>
          <w:i w:val="0"/>
        </w:rPr>
        <w:t xml:space="preserve">Códigos de evidencia: </w:t>
      </w:r>
      <w:r>
        <w:rPr>
          <w:b/>
          <w:i w:val="0"/>
        </w:rPr>
        <w:t>T1-Ix</w:t>
      </w:r>
      <w:r>
        <w:rPr>
          <w:b w:val="0"/>
          <w:i w:val="0"/>
        </w:rPr>
        <w:t xml:space="preserve"> = indicador Ix de </w:t>
      </w:r>
      <w:r>
        <w:rPr>
          <w:b w:val="0"/>
          <w:i w:val="0"/>
        </w:rPr>
        <w:t>evidencias/T1-sector.md</w:t>
      </w:r>
      <w:r>
        <w:rPr>
          <w:b w:val="0"/>
          <w:i w:val="0"/>
        </w:rPr>
        <w:t xml:space="preserve">; </w:t>
      </w:r>
      <w:r>
        <w:rPr>
          <w:b/>
          <w:i w:val="0"/>
        </w:rPr>
        <w:t>T2 §x</w:t>
      </w:r>
      <w:r>
        <w:rPr>
          <w:b w:val="0"/>
          <w:i w:val="0"/>
        </w:rPr>
        <w:t xml:space="preserve"> = sección de </w:t>
      </w:r>
      <w:r>
        <w:rPr>
          <w:b w:val="0"/>
          <w:i w:val="0"/>
        </w:rPr>
        <w:t>evidencias/T2-modelo-negocio.md</w:t>
      </w:r>
      <w:r>
        <w:rPr>
          <w:b w:val="0"/>
          <w:i w:val="0"/>
        </w:rPr>
        <w:t xml:space="preserve">; </w:t>
      </w:r>
      <w:r>
        <w:rPr>
          <w:b/>
          <w:i w:val="0"/>
        </w:rPr>
        <w:t>PREV-T2 Bx/Fx</w:t>
      </w:r>
      <w:r>
        <w:rPr>
          <w:b w:val="0"/>
          <w:i w:val="0"/>
        </w:rPr>
        <w:t xml:space="preserve"> = hallazgo de </w:t>
      </w:r>
      <w:r>
        <w:rPr>
          <w:b w:val="0"/>
          <w:i w:val="0"/>
        </w:rPr>
        <w:t>milestones/validacion-regional-aedesalert/evidencias/T2-impacto.md</w:t>
      </w:r>
      <w:r>
        <w:rPr>
          <w:b w:val="0"/>
          <w:i w:val="0"/>
        </w:rPr>
        <w:t xml:space="preserve">. Las URL de todas las cifras están en la §12 de </w:t>
      </w:r>
      <w:r>
        <w:rPr>
          <w:b w:val="0"/>
          <w:i w:val="0"/>
        </w:rPr>
        <w:t>guia-canvas.md</w:t>
      </w:r>
      <w:r>
        <w:rPr>
          <w:b w:val="0"/>
          <w:i w:val="0"/>
        </w:rPr>
        <w:t>.</w:t>
      </w:r>
    </w:p>
    <w:p>
      <w:pPr>
        <w:pStyle w:val="ListBullet"/>
      </w:pPr>
      <w:r>
        <w:rPr>
          <w:b w:val="0"/>
          <w:i w:val="0"/>
        </w:rPr>
        <w:t xml:space="preserve">Marcas: </w:t>
      </w:r>
      <w:r>
        <w:rPr>
          <w:b/>
          <w:i w:val="0"/>
        </w:rPr>
        <w:t>[supuesto]</w:t>
      </w:r>
      <w:r>
        <w:rPr>
          <w:b w:val="0"/>
          <w:i w:val="0"/>
        </w:rPr>
        <w:t xml:space="preserve"> = no tiene fuente, se debe validar; </w:t>
      </w:r>
      <w:r>
        <w:rPr>
          <w:b/>
          <w:i w:val="0"/>
        </w:rPr>
        <w:t>[hipótesis]</w:t>
      </w:r>
      <w:r>
        <w:rPr>
          <w:b w:val="0"/>
          <w:i w:val="0"/>
        </w:rPr>
        <w:t xml:space="preserve"> = segmento o ingreso sin evidencia de compra.</w:t>
      </w:r>
    </w:p>
    <w:p>
      <w:pPr>
        <w:pStyle w:val="Heading1"/>
      </w:pPr>
      <w:r>
        <w:t>0. Cómo usar esta guía con tu plantilla</w:t>
      </w:r>
    </w:p>
    <w:p>
      <w:pPr>
        <w:pStyle w:val="Heading2"/>
      </w:pPr>
      <w:r>
        <w:t>0.1 Mapa de tu plantilla (`insumos/modelo-canvas.png`)</w:t>
      </w:r>
    </w:p>
    <w:p>
      <w:r>
        <w:rPr>
          <w:b w:val="0"/>
          <w:i w:val="0"/>
        </w:rPr>
        <w:t xml:space="preserve">Título de la plantilla: </w:t>
      </w:r>
      <w:r>
        <w:rPr>
          <w:b/>
          <w:i w:val="0"/>
        </w:rPr>
        <w:t>#MODELO DE NEGOCIO: NOMBRE DE LA EMPRESA</w:t>
      </w:r>
      <w:r>
        <w:rPr>
          <w:b w:val="0"/>
          <w:i w:val="0"/>
        </w:rPr>
        <w:t xml:space="preserve"> → escribe </w:t>
      </w:r>
      <w:r>
        <w:rPr>
          <w:b/>
          <w:i w:val="0"/>
        </w:rPr>
        <w:t>AedesAlert Cali</w:t>
      </w:r>
      <w:r>
        <w:rPr>
          <w:b w:val="0"/>
          <w:i w:val="0"/>
        </w:rPr>
        <w:t>.</w:t>
      </w:r>
    </w:p>
    <w:p>
      <w:r>
        <w:rPr>
          <w:b w:val="0"/>
          <w:i/>
        </w:rPr>
        <w:t>Sugerencia (no obligatoria):</w:t>
      </w:r>
      <w:r>
        <w:rPr>
          <w:b w:val="0"/>
          <w:i w:val="0"/>
        </w:rPr>
        <w:t xml:space="preserve"> como el segmento que paga son los otros 8 municipios del Valle, podrías titularlo </w:t>
      </w:r>
      <w:r>
        <w:rPr>
          <w:b/>
          <w:i w:val="0"/>
        </w:rPr>
        <w:t>AedesAlert</w:t>
      </w:r>
      <w:r>
        <w:rPr>
          <w:b w:val="0"/>
          <w:i w:val="0"/>
        </w:rPr>
        <w:t xml:space="preserve"> o </w:t>
      </w:r>
      <w:r>
        <w:rPr>
          <w:b/>
          <w:i w:val="0"/>
        </w:rPr>
        <w:t>AedesAlert Valle</w:t>
      </w:r>
      <w:r>
        <w:rPr>
          <w:b w:val="0"/>
          <w:i w:val="0"/>
        </w:rPr>
        <w:t xml:space="preserve">. Si lo cambias, cámbialo también en la portada del deck y en el guion; si no, deja </w:t>
      </w:r>
      <w:r>
        <w:rPr>
          <w:b/>
          <w:i w:val="0"/>
        </w:rPr>
        <w:t>AedesAlert Cali</w:t>
      </w:r>
      <w:r>
        <w:rPr>
          <w:b w:val="0"/>
          <w:i w:val="0"/>
        </w:rPr>
        <w:t>, que es el nombre usado en todo el trabajo anterior.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8" w:color="000000"/>
          <w:left w:val="single" w:sz="8" w:color="000000"/>
          <w:bottom w:val="single" w:sz="8" w:color="000000"/>
          <w:right w:val="single" w:sz="8" w:color="000000"/>
          <w:insideH w:val="single" w:sz="8" w:color="000000"/>
          <w:insideV w:val="single" w:sz="8" w:color="000000"/>
        </w:tblBorders>
      </w:tblPr>
      <w:tblGrid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</w:tblGrid>
      <w:tr>
        <w:tc>
          <w:tcPr>
            <w:tcW w:type="dxa" w:w="1872"/>
            <w:gridSpan w:val="2"/>
            <w:vMerge w:val="restart"/>
          </w:tcPr>
          <w:p>
            <w:pPr>
              <w:jc w:val="center"/>
            </w:pPr>
            <w:r>
              <w:rPr>
                <w:b/>
                <w:i w:val="0"/>
                <w:sz w:val="20"/>
              </w:rPr>
              <w:t>SOCIOS CLAVE</w:t>
            </w:r>
            <w:r>
              <w:rPr>
                <w:b w:val="0"/>
                <w:i w:val="0"/>
                <w:sz w:val="20"/>
              </w:rPr>
              <w:t xml:space="preserve"> (Bloque 1)</w:t>
              <w:br/>
              <w:t>alto, izquierda</w:t>
            </w:r>
          </w:p>
        </w:tc>
        <w:tc>
          <w:tcPr>
            <w:tcW w:type="dxa" w:w="1872"/>
            <w:gridSpan w:val="2"/>
          </w:tcPr>
          <w:p>
            <w:pPr>
              <w:jc w:val="center"/>
            </w:pPr>
            <w:r>
              <w:rPr>
                <w:b/>
                <w:i w:val="0"/>
                <w:sz w:val="20"/>
              </w:rPr>
              <w:t>ACTIVIDADES CLAVE</w:t>
            </w:r>
            <w:r>
              <w:rPr>
                <w:b w:val="0"/>
                <w:i w:val="0"/>
                <w:sz w:val="20"/>
              </w:rPr>
              <w:t xml:space="preserve"> (B. 2)</w:t>
            </w:r>
          </w:p>
        </w:tc>
        <w:tc>
          <w:tcPr>
            <w:tcW w:type="dxa" w:w="1872"/>
            <w:gridSpan w:val="2"/>
          </w:tcPr>
          <w:p>
            <w:pPr>
              <w:jc w:val="center"/>
            </w:pPr>
            <w:r>
              <w:rPr>
                <w:b/>
                <w:i w:val="0"/>
                <w:sz w:val="20"/>
              </w:rPr>
              <w:t>PROPUESTA DE VALOR</w:t>
            </w:r>
            <w:r>
              <w:rPr>
                <w:b w:val="0"/>
                <w:i w:val="0"/>
                <w:sz w:val="20"/>
              </w:rPr>
              <w:t xml:space="preserve"> (B. 4)</w:t>
            </w:r>
          </w:p>
        </w:tc>
        <w:tc>
          <w:tcPr>
            <w:tcW w:type="dxa" w:w="1872"/>
            <w:gridSpan w:val="2"/>
          </w:tcPr>
          <w:p>
            <w:pPr>
              <w:jc w:val="center"/>
            </w:pPr>
            <w:r>
              <w:rPr>
                <w:b/>
                <w:i w:val="0"/>
                <w:sz w:val="20"/>
              </w:rPr>
              <w:t>RELACIÓN CON EL CLIENTE</w:t>
            </w:r>
            <w:r>
              <w:rPr>
                <w:b w:val="0"/>
                <w:i w:val="0"/>
                <w:sz w:val="20"/>
              </w:rPr>
              <w:t xml:space="preserve"> (B. 5)</w:t>
            </w:r>
          </w:p>
        </w:tc>
        <w:tc>
          <w:tcPr>
            <w:tcW w:type="dxa" w:w="1872"/>
            <w:gridSpan w:val="2"/>
            <w:vMerge w:val="restart"/>
          </w:tcPr>
          <w:p>
            <w:pPr>
              <w:jc w:val="center"/>
            </w:pPr>
            <w:r>
              <w:rPr>
                <w:b/>
                <w:i w:val="0"/>
                <w:sz w:val="20"/>
              </w:rPr>
              <w:t>SEGMENTOS DE CLIENTES</w:t>
            </w:r>
            <w:r>
              <w:rPr>
                <w:b w:val="0"/>
                <w:i w:val="0"/>
                <w:sz w:val="20"/>
              </w:rPr>
              <w:t xml:space="preserve"> (Bloque 7)</w:t>
              <w:br/>
              <w:t>alto, derecha</w:t>
            </w:r>
          </w:p>
        </w:tc>
      </w:tr>
      <w:tr>
        <w:tc>
          <w:tcPr>
            <w:tcW w:type="dxa" w:w="1872"/>
            <w:gridSpan w:val="2"/>
            <w:vMerge/>
          </w:tcPr>
          <w:p/>
        </w:tc>
        <w:tc>
          <w:tcPr>
            <w:tcW w:type="dxa" w:w="1872"/>
            <w:gridSpan w:val="2"/>
          </w:tcPr>
          <w:p>
            <w:pPr>
              <w:jc w:val="center"/>
            </w:pPr>
            <w:r>
              <w:rPr>
                <w:b/>
                <w:i w:val="0"/>
                <w:sz w:val="20"/>
              </w:rPr>
              <w:t>RECURSOS CLAVE</w:t>
            </w:r>
            <w:r>
              <w:rPr>
                <w:b w:val="0"/>
                <w:i w:val="0"/>
                <w:sz w:val="20"/>
              </w:rPr>
              <w:t xml:space="preserve"> (B. 3)</w:t>
            </w:r>
          </w:p>
        </w:tc>
        <w:tc>
          <w:tcPr>
            <w:tcW w:type="dxa" w:w="1872"/>
            <w:gridSpan w:val="2"/>
          </w:tcPr>
          <w:p>
            <w:pPr>
              <w:jc w:val="center"/>
            </w:pPr>
            <w:r>
              <w:rPr>
                <w:b w:val="0"/>
                <w:i w:val="0"/>
                <w:sz w:val="20"/>
              </w:rPr>
              <w:t>[YOUR LOGO HERE]</w:t>
            </w:r>
          </w:p>
        </w:tc>
        <w:tc>
          <w:tcPr>
            <w:tcW w:type="dxa" w:w="1872"/>
            <w:gridSpan w:val="2"/>
          </w:tcPr>
          <w:p>
            <w:pPr>
              <w:jc w:val="center"/>
            </w:pPr>
            <w:r>
              <w:rPr>
                <w:b/>
                <w:i w:val="0"/>
                <w:sz w:val="20"/>
              </w:rPr>
              <w:t>CANALES</w:t>
            </w:r>
            <w:r>
              <w:rPr>
                <w:b w:val="0"/>
                <w:i w:val="0"/>
                <w:sz w:val="20"/>
              </w:rPr>
              <w:t xml:space="preserve"> (B. 6)</w:t>
            </w:r>
          </w:p>
        </w:tc>
        <w:tc>
          <w:tcPr>
            <w:tcW w:type="dxa" w:w="1872"/>
            <w:gridSpan w:val="2"/>
            <w:vMerge/>
          </w:tcPr>
          <w:p/>
        </w:tc>
      </w:tr>
      <w:tr>
        <w:tc>
          <w:tcPr>
            <w:tcW w:type="dxa" w:w="4680"/>
            <w:gridSpan w:val="5"/>
          </w:tcPr>
          <w:p>
            <w:pPr>
              <w:jc w:val="center"/>
            </w:pPr>
            <w:r>
              <w:rPr>
                <w:b/>
                <w:i w:val="0"/>
                <w:sz w:val="20"/>
              </w:rPr>
              <w:t>ESTRUCTURA DE COSTOS</w:t>
            </w:r>
            <w:r>
              <w:rPr>
                <w:b w:val="0"/>
                <w:i w:val="0"/>
                <w:sz w:val="20"/>
              </w:rPr>
              <w:t xml:space="preserve"> (Bloque 8)</w:t>
              <w:br/>
              <w:t>franja inferior izquierda</w:t>
            </w:r>
          </w:p>
        </w:tc>
        <w:tc>
          <w:tcPr>
            <w:tcW w:type="dxa" w:w="4680"/>
            <w:gridSpan w:val="5"/>
          </w:tcPr>
          <w:p>
            <w:pPr>
              <w:jc w:val="center"/>
            </w:pPr>
            <w:r>
              <w:rPr>
                <w:b/>
                <w:i w:val="0"/>
                <w:sz w:val="20"/>
              </w:rPr>
              <w:t>FUENTES DE INGRESOS</w:t>
            </w:r>
            <w:r>
              <w:rPr>
                <w:b w:val="0"/>
                <w:i w:val="0"/>
                <w:sz w:val="20"/>
              </w:rPr>
              <w:t xml:space="preserve"> (Bloque 9)</w:t>
              <w:br/>
              <w:t>franja inferior derecha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pPr>
              <w:spacing w:after="0" w:line="276" w:lineRule="auto"/>
            </w:pPr>
            <w:r>
              <w:rPr>
                <w:b/>
                <w:i w:val="0"/>
                <w:sz w:val="22"/>
              </w:rPr>
              <w:t>Orden de llenado (pauta)</w:t>
            </w:r>
          </w:p>
        </w:tc>
        <w:tc>
          <w:tcPr>
            <w:tcW w:type="dxa" w:w="1872"/>
          </w:tcPr>
          <w:p>
            <w:pPr>
              <w:spacing w:after="0" w:line="276" w:lineRule="auto"/>
            </w:pPr>
            <w:r>
              <w:rPr>
                <w:b/>
                <w:i w:val="0"/>
                <w:sz w:val="22"/>
              </w:rPr>
              <w:t>Bloque</w:t>
            </w:r>
          </w:p>
        </w:tc>
        <w:tc>
          <w:tcPr>
            <w:tcW w:type="dxa" w:w="1872"/>
          </w:tcPr>
          <w:p>
            <w:pPr>
              <w:spacing w:after="0" w:line="276" w:lineRule="auto"/>
            </w:pPr>
            <w:r>
              <w:rPr>
                <w:b/>
                <w:i w:val="0"/>
                <w:sz w:val="22"/>
              </w:rPr>
              <w:t>Dónde queda en tu plantilla</w:t>
            </w:r>
          </w:p>
        </w:tc>
        <w:tc>
          <w:tcPr>
            <w:tcW w:type="dxa" w:w="1872"/>
          </w:tcPr>
          <w:p>
            <w:pPr>
              <w:spacing w:after="0" w:line="276" w:lineRule="auto"/>
            </w:pPr>
            <w:r>
              <w:rPr>
                <w:b/>
                <w:i w:val="0"/>
                <w:sz w:val="22"/>
              </w:rPr>
              <w:t>Tamaño</w:t>
            </w:r>
          </w:p>
        </w:tc>
        <w:tc>
          <w:tcPr>
            <w:tcW w:type="dxa" w:w="1872"/>
          </w:tcPr>
          <w:p>
            <w:pPr>
              <w:spacing w:after="0" w:line="276" w:lineRule="auto"/>
            </w:pPr>
            <w:r>
              <w:rPr>
                <w:b/>
                <w:i w:val="0"/>
                <w:sz w:val="22"/>
              </w:rPr>
              <w:t>Máx. palabras versión corta</w:t>
            </w:r>
          </w:p>
        </w:tc>
      </w:tr>
      <w:tr>
        <w:tc>
          <w:tcPr>
            <w:tcW w:type="dxa" w:w="1872"/>
          </w:tcPr>
          <w:p>
            <w:pPr>
              <w:spacing w:after="0" w:line="276" w:lineRule="auto"/>
            </w:pPr>
            <w:r>
              <w:rPr>
                <w:b w:val="0"/>
                <w:i w:val="0"/>
                <w:sz w:val="22"/>
              </w:rPr>
              <w:t>1.°</w:t>
            </w:r>
          </w:p>
        </w:tc>
        <w:tc>
          <w:tcPr>
            <w:tcW w:type="dxa" w:w="1872"/>
          </w:tcPr>
          <w:p>
            <w:pPr>
              <w:spacing w:after="0" w:line="276" w:lineRule="auto"/>
            </w:pPr>
            <w:r>
              <w:rPr>
                <w:b w:val="0"/>
                <w:i w:val="0"/>
                <w:sz w:val="22"/>
              </w:rPr>
              <w:t>Propuesta de valor (Bloque 4)</w:t>
            </w:r>
          </w:p>
        </w:tc>
        <w:tc>
          <w:tcPr>
            <w:tcW w:type="dxa" w:w="1872"/>
          </w:tcPr>
          <w:p>
            <w:pPr>
              <w:spacing w:after="0" w:line="276" w:lineRule="auto"/>
            </w:pPr>
            <w:r>
              <w:rPr>
                <w:b w:val="0"/>
                <w:i w:val="0"/>
                <w:sz w:val="22"/>
              </w:rPr>
              <w:t>Centro, arriba (debajo queda el recuadro "YOUR LOGO HERE")</w:t>
            </w:r>
          </w:p>
        </w:tc>
        <w:tc>
          <w:tcPr>
            <w:tcW w:type="dxa" w:w="1872"/>
          </w:tcPr>
          <w:p>
            <w:pPr>
              <w:spacing w:after="0" w:line="276" w:lineRule="auto"/>
            </w:pPr>
            <w:r>
              <w:rPr>
                <w:b w:val="0"/>
                <w:i w:val="0"/>
                <w:sz w:val="22"/>
              </w:rPr>
              <w:t>Mediano</w:t>
            </w:r>
          </w:p>
        </w:tc>
        <w:tc>
          <w:tcPr>
            <w:tcW w:type="dxa" w:w="1872"/>
          </w:tcPr>
          <w:p>
            <w:pPr>
              <w:spacing w:after="0" w:line="276" w:lineRule="auto"/>
            </w:pPr>
            <w:r>
              <w:rPr>
                <w:b w:val="0"/>
                <w:i w:val="0"/>
                <w:sz w:val="22"/>
              </w:rPr>
              <w:t>45</w:t>
            </w:r>
          </w:p>
        </w:tc>
      </w:tr>
      <w:tr>
        <w:tc>
          <w:tcPr>
            <w:tcW w:type="dxa" w:w="1872"/>
          </w:tcPr>
          <w:p>
            <w:pPr>
              <w:spacing w:after="0" w:line="276" w:lineRule="auto"/>
            </w:pPr>
            <w:r>
              <w:rPr>
                <w:b w:val="0"/>
                <w:i w:val="0"/>
                <w:sz w:val="22"/>
              </w:rPr>
              <w:t>2.°</w:t>
            </w:r>
          </w:p>
        </w:tc>
        <w:tc>
          <w:tcPr>
            <w:tcW w:type="dxa" w:w="1872"/>
          </w:tcPr>
          <w:p>
            <w:pPr>
              <w:spacing w:after="0" w:line="276" w:lineRule="auto"/>
            </w:pPr>
            <w:r>
              <w:rPr>
                <w:b w:val="0"/>
                <w:i w:val="0"/>
                <w:sz w:val="22"/>
              </w:rPr>
              <w:t>Segmentos de clientes (Bloque 7)</w:t>
            </w:r>
          </w:p>
        </w:tc>
        <w:tc>
          <w:tcPr>
            <w:tcW w:type="dxa" w:w="1872"/>
          </w:tcPr>
          <w:p>
            <w:pPr>
              <w:spacing w:after="0" w:line="276" w:lineRule="auto"/>
            </w:pPr>
            <w:r>
              <w:rPr>
                <w:b w:val="0"/>
                <w:i w:val="0"/>
                <w:sz w:val="22"/>
              </w:rPr>
              <w:t>Columna derecha, de arriba abajo</w:t>
            </w:r>
          </w:p>
        </w:tc>
        <w:tc>
          <w:tcPr>
            <w:tcW w:type="dxa" w:w="1872"/>
          </w:tcPr>
          <w:p>
            <w:pPr>
              <w:spacing w:after="0" w:line="276" w:lineRule="auto"/>
            </w:pPr>
            <w:r>
              <w:rPr>
                <w:b w:val="0"/>
                <w:i w:val="0"/>
                <w:sz w:val="22"/>
              </w:rPr>
              <w:t>Alto</w:t>
            </w:r>
          </w:p>
        </w:tc>
        <w:tc>
          <w:tcPr>
            <w:tcW w:type="dxa" w:w="1872"/>
          </w:tcPr>
          <w:p>
            <w:pPr>
              <w:spacing w:after="0" w:line="276" w:lineRule="auto"/>
            </w:pPr>
            <w:r>
              <w:rPr>
                <w:b w:val="0"/>
                <w:i w:val="0"/>
                <w:sz w:val="22"/>
              </w:rPr>
              <w:t>60</w:t>
            </w:r>
          </w:p>
        </w:tc>
      </w:tr>
      <w:tr>
        <w:tc>
          <w:tcPr>
            <w:tcW w:type="dxa" w:w="1872"/>
          </w:tcPr>
          <w:p>
            <w:pPr>
              <w:spacing w:after="0" w:line="276" w:lineRule="auto"/>
            </w:pPr>
            <w:r>
              <w:rPr>
                <w:b w:val="0"/>
                <w:i w:val="0"/>
                <w:sz w:val="22"/>
              </w:rPr>
              <w:t>3.°</w:t>
            </w:r>
          </w:p>
        </w:tc>
        <w:tc>
          <w:tcPr>
            <w:tcW w:type="dxa" w:w="1872"/>
          </w:tcPr>
          <w:p>
            <w:pPr>
              <w:spacing w:after="0" w:line="276" w:lineRule="auto"/>
            </w:pPr>
            <w:r>
              <w:rPr>
                <w:b w:val="0"/>
                <w:i w:val="0"/>
                <w:sz w:val="22"/>
              </w:rPr>
              <w:t>Canales (Bloque 6)</w:t>
            </w:r>
          </w:p>
        </w:tc>
        <w:tc>
          <w:tcPr>
            <w:tcW w:type="dxa" w:w="1872"/>
          </w:tcPr>
          <w:p>
            <w:pPr>
              <w:spacing w:after="0" w:line="276" w:lineRule="auto"/>
            </w:pPr>
            <w:r>
              <w:rPr>
                <w:b w:val="0"/>
                <w:i w:val="0"/>
                <w:sz w:val="22"/>
              </w:rPr>
              <w:t>Cuarta columna, abajo</w:t>
            </w:r>
          </w:p>
        </w:tc>
        <w:tc>
          <w:tcPr>
            <w:tcW w:type="dxa" w:w="1872"/>
          </w:tcPr>
          <w:p>
            <w:pPr>
              <w:spacing w:after="0" w:line="276" w:lineRule="auto"/>
            </w:pPr>
            <w:r>
              <w:rPr>
                <w:b w:val="0"/>
                <w:i w:val="0"/>
                <w:sz w:val="22"/>
              </w:rPr>
              <w:t>Mediano</w:t>
            </w:r>
          </w:p>
        </w:tc>
        <w:tc>
          <w:tcPr>
            <w:tcW w:type="dxa" w:w="1872"/>
          </w:tcPr>
          <w:p>
            <w:pPr>
              <w:spacing w:after="0" w:line="276" w:lineRule="auto"/>
            </w:pPr>
            <w:r>
              <w:rPr>
                <w:b w:val="0"/>
                <w:i w:val="0"/>
                <w:sz w:val="22"/>
              </w:rPr>
              <w:t>45</w:t>
            </w:r>
          </w:p>
        </w:tc>
      </w:tr>
      <w:tr>
        <w:tc>
          <w:tcPr>
            <w:tcW w:type="dxa" w:w="1872"/>
          </w:tcPr>
          <w:p>
            <w:pPr>
              <w:spacing w:after="0" w:line="276" w:lineRule="auto"/>
            </w:pPr>
            <w:r>
              <w:rPr>
                <w:b w:val="0"/>
                <w:i w:val="0"/>
                <w:sz w:val="22"/>
              </w:rPr>
              <w:t>4.°</w:t>
            </w:r>
          </w:p>
        </w:tc>
        <w:tc>
          <w:tcPr>
            <w:tcW w:type="dxa" w:w="1872"/>
          </w:tcPr>
          <w:p>
            <w:pPr>
              <w:spacing w:after="0" w:line="276" w:lineRule="auto"/>
            </w:pPr>
            <w:r>
              <w:rPr>
                <w:b w:val="0"/>
                <w:i w:val="0"/>
                <w:sz w:val="22"/>
              </w:rPr>
              <w:t>Relación con el cliente (Bloque 5)</w:t>
            </w:r>
          </w:p>
        </w:tc>
        <w:tc>
          <w:tcPr>
            <w:tcW w:type="dxa" w:w="1872"/>
          </w:tcPr>
          <w:p>
            <w:pPr>
              <w:spacing w:after="0" w:line="276" w:lineRule="auto"/>
            </w:pPr>
            <w:r>
              <w:rPr>
                <w:b w:val="0"/>
                <w:i w:val="0"/>
                <w:sz w:val="22"/>
              </w:rPr>
              <w:t>Cuarta columna, arriba</w:t>
            </w:r>
          </w:p>
        </w:tc>
        <w:tc>
          <w:tcPr>
            <w:tcW w:type="dxa" w:w="1872"/>
          </w:tcPr>
          <w:p>
            <w:pPr>
              <w:spacing w:after="0" w:line="276" w:lineRule="auto"/>
            </w:pPr>
            <w:r>
              <w:rPr>
                <w:b w:val="0"/>
                <w:i w:val="0"/>
                <w:sz w:val="22"/>
              </w:rPr>
              <w:t>Mediano</w:t>
            </w:r>
          </w:p>
        </w:tc>
        <w:tc>
          <w:tcPr>
            <w:tcW w:type="dxa" w:w="1872"/>
          </w:tcPr>
          <w:p>
            <w:pPr>
              <w:spacing w:after="0" w:line="276" w:lineRule="auto"/>
            </w:pPr>
            <w:r>
              <w:rPr>
                <w:b w:val="0"/>
                <w:i w:val="0"/>
                <w:sz w:val="22"/>
              </w:rPr>
              <w:t>45</w:t>
            </w:r>
          </w:p>
        </w:tc>
      </w:tr>
      <w:tr>
        <w:tc>
          <w:tcPr>
            <w:tcW w:type="dxa" w:w="1872"/>
          </w:tcPr>
          <w:p>
            <w:pPr>
              <w:spacing w:after="0" w:line="276" w:lineRule="auto"/>
            </w:pPr>
            <w:r>
              <w:rPr>
                <w:b w:val="0"/>
                <w:i w:val="0"/>
                <w:sz w:val="22"/>
              </w:rPr>
              <w:t>5.°</w:t>
            </w:r>
          </w:p>
        </w:tc>
        <w:tc>
          <w:tcPr>
            <w:tcW w:type="dxa" w:w="1872"/>
          </w:tcPr>
          <w:p>
            <w:pPr>
              <w:spacing w:after="0" w:line="276" w:lineRule="auto"/>
            </w:pPr>
            <w:r>
              <w:rPr>
                <w:b w:val="0"/>
                <w:i w:val="0"/>
                <w:sz w:val="22"/>
              </w:rPr>
              <w:t>Fuentes de ingresos (Bloque 9)</w:t>
            </w:r>
          </w:p>
        </w:tc>
        <w:tc>
          <w:tcPr>
            <w:tcW w:type="dxa" w:w="1872"/>
          </w:tcPr>
          <w:p>
            <w:pPr>
              <w:spacing w:after="0" w:line="276" w:lineRule="auto"/>
            </w:pPr>
            <w:r>
              <w:rPr>
                <w:b w:val="0"/>
                <w:i w:val="0"/>
                <w:sz w:val="22"/>
              </w:rPr>
              <w:t>Franja inferior derecha</w:t>
            </w:r>
          </w:p>
        </w:tc>
        <w:tc>
          <w:tcPr>
            <w:tcW w:type="dxa" w:w="1872"/>
          </w:tcPr>
          <w:p>
            <w:pPr>
              <w:spacing w:after="0" w:line="276" w:lineRule="auto"/>
            </w:pPr>
            <w:r>
              <w:rPr>
                <w:b w:val="0"/>
                <w:i w:val="0"/>
                <w:sz w:val="22"/>
              </w:rPr>
              <w:t>Ancho</w:t>
            </w:r>
          </w:p>
        </w:tc>
        <w:tc>
          <w:tcPr>
            <w:tcW w:type="dxa" w:w="1872"/>
          </w:tcPr>
          <w:p>
            <w:pPr>
              <w:spacing w:after="0" w:line="276" w:lineRule="auto"/>
            </w:pPr>
            <w:r>
              <w:rPr>
                <w:b w:val="0"/>
                <w:i w:val="0"/>
                <w:sz w:val="22"/>
              </w:rPr>
              <w:t>45</w:t>
            </w:r>
          </w:p>
        </w:tc>
      </w:tr>
      <w:tr>
        <w:tc>
          <w:tcPr>
            <w:tcW w:type="dxa" w:w="1872"/>
          </w:tcPr>
          <w:p>
            <w:pPr>
              <w:spacing w:after="0" w:line="276" w:lineRule="auto"/>
            </w:pPr>
            <w:r>
              <w:rPr>
                <w:b w:val="0"/>
                <w:i w:val="0"/>
                <w:sz w:val="22"/>
              </w:rPr>
              <w:t>6.°</w:t>
            </w:r>
          </w:p>
        </w:tc>
        <w:tc>
          <w:tcPr>
            <w:tcW w:type="dxa" w:w="1872"/>
          </w:tcPr>
          <w:p>
            <w:pPr>
              <w:spacing w:after="0" w:line="276" w:lineRule="auto"/>
            </w:pPr>
            <w:r>
              <w:rPr>
                <w:b w:val="0"/>
                <w:i w:val="0"/>
                <w:sz w:val="22"/>
              </w:rPr>
              <w:t>Recursos clave (Bloque 3)</w:t>
            </w:r>
          </w:p>
        </w:tc>
        <w:tc>
          <w:tcPr>
            <w:tcW w:type="dxa" w:w="1872"/>
          </w:tcPr>
          <w:p>
            <w:pPr>
              <w:spacing w:after="0" w:line="276" w:lineRule="auto"/>
            </w:pPr>
            <w:r>
              <w:rPr>
                <w:b w:val="0"/>
                <w:i w:val="0"/>
                <w:sz w:val="22"/>
              </w:rPr>
              <w:t>Segunda columna, abajo</w:t>
            </w:r>
          </w:p>
        </w:tc>
        <w:tc>
          <w:tcPr>
            <w:tcW w:type="dxa" w:w="1872"/>
          </w:tcPr>
          <w:p>
            <w:pPr>
              <w:spacing w:after="0" w:line="276" w:lineRule="auto"/>
            </w:pPr>
            <w:r>
              <w:rPr>
                <w:b w:val="0"/>
                <w:i w:val="0"/>
                <w:sz w:val="22"/>
              </w:rPr>
              <w:t>Mediano</w:t>
            </w:r>
          </w:p>
        </w:tc>
        <w:tc>
          <w:tcPr>
            <w:tcW w:type="dxa" w:w="1872"/>
          </w:tcPr>
          <w:p>
            <w:pPr>
              <w:spacing w:after="0" w:line="276" w:lineRule="auto"/>
            </w:pPr>
            <w:r>
              <w:rPr>
                <w:b w:val="0"/>
                <w:i w:val="0"/>
                <w:sz w:val="22"/>
              </w:rPr>
              <w:t>45</w:t>
            </w:r>
          </w:p>
        </w:tc>
      </w:tr>
      <w:tr>
        <w:tc>
          <w:tcPr>
            <w:tcW w:type="dxa" w:w="1872"/>
          </w:tcPr>
          <w:p>
            <w:pPr>
              <w:spacing w:after="0" w:line="276" w:lineRule="auto"/>
            </w:pPr>
            <w:r>
              <w:rPr>
                <w:b w:val="0"/>
                <w:i w:val="0"/>
                <w:sz w:val="22"/>
              </w:rPr>
              <w:t>7.°</w:t>
            </w:r>
          </w:p>
        </w:tc>
        <w:tc>
          <w:tcPr>
            <w:tcW w:type="dxa" w:w="1872"/>
          </w:tcPr>
          <w:p>
            <w:pPr>
              <w:spacing w:after="0" w:line="276" w:lineRule="auto"/>
            </w:pPr>
            <w:r>
              <w:rPr>
                <w:b w:val="0"/>
                <w:i w:val="0"/>
                <w:sz w:val="22"/>
              </w:rPr>
              <w:t>Actividades clave (Bloque 2)</w:t>
            </w:r>
          </w:p>
        </w:tc>
        <w:tc>
          <w:tcPr>
            <w:tcW w:type="dxa" w:w="1872"/>
          </w:tcPr>
          <w:p>
            <w:pPr>
              <w:spacing w:after="0" w:line="276" w:lineRule="auto"/>
            </w:pPr>
            <w:r>
              <w:rPr>
                <w:b w:val="0"/>
                <w:i w:val="0"/>
                <w:sz w:val="22"/>
              </w:rPr>
              <w:t>Segunda columna, arriba</w:t>
            </w:r>
          </w:p>
        </w:tc>
        <w:tc>
          <w:tcPr>
            <w:tcW w:type="dxa" w:w="1872"/>
          </w:tcPr>
          <w:p>
            <w:pPr>
              <w:spacing w:after="0" w:line="276" w:lineRule="auto"/>
            </w:pPr>
            <w:r>
              <w:rPr>
                <w:b w:val="0"/>
                <w:i w:val="0"/>
                <w:sz w:val="22"/>
              </w:rPr>
              <w:t>Mediano</w:t>
            </w:r>
          </w:p>
        </w:tc>
        <w:tc>
          <w:tcPr>
            <w:tcW w:type="dxa" w:w="1872"/>
          </w:tcPr>
          <w:p>
            <w:pPr>
              <w:spacing w:after="0" w:line="276" w:lineRule="auto"/>
            </w:pPr>
            <w:r>
              <w:rPr>
                <w:b w:val="0"/>
                <w:i w:val="0"/>
                <w:sz w:val="22"/>
              </w:rPr>
              <w:t>45</w:t>
            </w:r>
          </w:p>
        </w:tc>
      </w:tr>
      <w:tr>
        <w:tc>
          <w:tcPr>
            <w:tcW w:type="dxa" w:w="1872"/>
          </w:tcPr>
          <w:p>
            <w:pPr>
              <w:spacing w:after="0" w:line="276" w:lineRule="auto"/>
            </w:pPr>
            <w:r>
              <w:rPr>
                <w:b w:val="0"/>
                <w:i w:val="0"/>
                <w:sz w:val="22"/>
              </w:rPr>
              <w:t>8.°</w:t>
            </w:r>
          </w:p>
        </w:tc>
        <w:tc>
          <w:tcPr>
            <w:tcW w:type="dxa" w:w="1872"/>
          </w:tcPr>
          <w:p>
            <w:pPr>
              <w:spacing w:after="0" w:line="276" w:lineRule="auto"/>
            </w:pPr>
            <w:r>
              <w:rPr>
                <w:b w:val="0"/>
                <w:i w:val="0"/>
                <w:sz w:val="22"/>
              </w:rPr>
              <w:t>Socios clave (Bloque 1)</w:t>
            </w:r>
          </w:p>
        </w:tc>
        <w:tc>
          <w:tcPr>
            <w:tcW w:type="dxa" w:w="1872"/>
          </w:tcPr>
          <w:p>
            <w:pPr>
              <w:spacing w:after="0" w:line="276" w:lineRule="auto"/>
            </w:pPr>
            <w:r>
              <w:rPr>
                <w:b w:val="0"/>
                <w:i w:val="0"/>
                <w:sz w:val="22"/>
              </w:rPr>
              <w:t>Columna izquierda, de arriba abajo</w:t>
            </w:r>
          </w:p>
        </w:tc>
        <w:tc>
          <w:tcPr>
            <w:tcW w:type="dxa" w:w="1872"/>
          </w:tcPr>
          <w:p>
            <w:pPr>
              <w:spacing w:after="0" w:line="276" w:lineRule="auto"/>
            </w:pPr>
            <w:r>
              <w:rPr>
                <w:b w:val="0"/>
                <w:i w:val="0"/>
                <w:sz w:val="22"/>
              </w:rPr>
              <w:t>Alto</w:t>
            </w:r>
          </w:p>
        </w:tc>
        <w:tc>
          <w:tcPr>
            <w:tcW w:type="dxa" w:w="1872"/>
          </w:tcPr>
          <w:p>
            <w:pPr>
              <w:spacing w:after="0" w:line="276" w:lineRule="auto"/>
            </w:pPr>
            <w:r>
              <w:rPr>
                <w:b w:val="0"/>
                <w:i w:val="0"/>
                <w:sz w:val="22"/>
              </w:rPr>
              <w:t>60</w:t>
            </w:r>
          </w:p>
        </w:tc>
      </w:tr>
      <w:tr>
        <w:tc>
          <w:tcPr>
            <w:tcW w:type="dxa" w:w="1872"/>
          </w:tcPr>
          <w:p>
            <w:pPr>
              <w:spacing w:after="0" w:line="276" w:lineRule="auto"/>
            </w:pPr>
            <w:r>
              <w:rPr>
                <w:b w:val="0"/>
                <w:i w:val="0"/>
                <w:sz w:val="22"/>
              </w:rPr>
              <w:t>9.°</w:t>
            </w:r>
          </w:p>
        </w:tc>
        <w:tc>
          <w:tcPr>
            <w:tcW w:type="dxa" w:w="1872"/>
          </w:tcPr>
          <w:p>
            <w:pPr>
              <w:spacing w:after="0" w:line="276" w:lineRule="auto"/>
            </w:pPr>
            <w:r>
              <w:rPr>
                <w:b w:val="0"/>
                <w:i w:val="0"/>
                <w:sz w:val="22"/>
              </w:rPr>
              <w:t>Estructura de costos (Bloque 8)</w:t>
            </w:r>
          </w:p>
        </w:tc>
        <w:tc>
          <w:tcPr>
            <w:tcW w:type="dxa" w:w="1872"/>
          </w:tcPr>
          <w:p>
            <w:pPr>
              <w:spacing w:after="0" w:line="276" w:lineRule="auto"/>
            </w:pPr>
            <w:r>
              <w:rPr>
                <w:b w:val="0"/>
                <w:i w:val="0"/>
                <w:sz w:val="22"/>
              </w:rPr>
              <w:t>Franja inferior izquierda</w:t>
            </w:r>
          </w:p>
        </w:tc>
        <w:tc>
          <w:tcPr>
            <w:tcW w:type="dxa" w:w="1872"/>
          </w:tcPr>
          <w:p>
            <w:pPr>
              <w:spacing w:after="0" w:line="276" w:lineRule="auto"/>
            </w:pPr>
            <w:r>
              <w:rPr>
                <w:b w:val="0"/>
                <w:i w:val="0"/>
                <w:sz w:val="22"/>
              </w:rPr>
              <w:t>Ancho</w:t>
            </w:r>
          </w:p>
        </w:tc>
        <w:tc>
          <w:tcPr>
            <w:tcW w:type="dxa" w:w="1872"/>
          </w:tcPr>
          <w:p>
            <w:pPr>
              <w:spacing w:after="0" w:line="276" w:lineRule="auto"/>
            </w:pPr>
            <w:r>
              <w:rPr>
                <w:b w:val="0"/>
                <w:i w:val="0"/>
                <w:sz w:val="22"/>
              </w:rPr>
              <w:t>45</w:t>
            </w:r>
          </w:p>
        </w:tc>
      </w:tr>
    </w:tbl>
    <w:p/>
    <w:p>
      <w:r>
        <w:rPr>
          <w:b w:val="0"/>
          <w:i w:val="0"/>
        </w:rPr>
        <w:t>El recuadro "YOUR LOGO HERE" del centro y el de la esquina superior derecha son para el logo: pon uno sencillo (un mosquito o un semáforo) o bórralos.</w:t>
      </w:r>
    </w:p>
    <w:p>
      <w:pPr>
        <w:pStyle w:val="Heading2"/>
      </w:pPr>
      <w:r>
        <w:t>0.2 Reglas para escribir en el lienzo</w:t>
      </w:r>
    </w:p>
    <w:p>
      <w:pPr>
        <w:ind w:left="454" w:hanging="340"/>
      </w:pPr>
      <w:r>
        <w:rPr>
          <w:b w:val="0"/>
          <w:i w:val="0"/>
        </w:rPr>
        <w:t xml:space="preserve">1.  </w:t>
      </w:r>
      <w:r>
        <w:rPr>
          <w:b/>
          <w:i w:val="0"/>
        </w:rPr>
        <w:t>Viñetas cortas, no párrafos.</w:t>
      </w:r>
      <w:r>
        <w:rPr>
          <w:b w:val="0"/>
          <w:i w:val="0"/>
        </w:rPr>
        <w:t xml:space="preserve"> Una idea por viñeta, de 3 a 10 palabras.</w:t>
      </w:r>
    </w:p>
    <w:p>
      <w:pPr>
        <w:ind w:left="454" w:hanging="340"/>
      </w:pPr>
      <w:r>
        <w:rPr>
          <w:b w:val="0"/>
          <w:i w:val="0"/>
        </w:rPr>
        <w:t xml:space="preserve">2.  </w:t>
      </w:r>
      <w:r>
        <w:rPr>
          <w:b/>
          <w:i w:val="0"/>
        </w:rPr>
        <w:t>Empieza por sustantivo o verbo:</w:t>
      </w:r>
      <w:r>
        <w:rPr>
          <w:b w:val="0"/>
          <w:i w:val="0"/>
        </w:rPr>
        <w:t xml:space="preserve"> "Mapa semanal…", "Validar con…", "Capacitación…".</w:t>
      </w:r>
    </w:p>
    <w:p>
      <w:pPr>
        <w:ind w:left="454" w:hanging="340"/>
      </w:pPr>
      <w:r>
        <w:rPr>
          <w:b w:val="0"/>
          <w:i w:val="0"/>
        </w:rPr>
        <w:t xml:space="preserve">3.  </w:t>
      </w:r>
      <w:r>
        <w:rPr>
          <w:b/>
          <w:i w:val="0"/>
        </w:rPr>
        <w:t>Sin cifras de relleno.</w:t>
      </w:r>
      <w:r>
        <w:rPr>
          <w:b w:val="0"/>
          <w:i w:val="0"/>
        </w:rPr>
        <w:t xml:space="preserve"> En el lienzo pon solo cifras que puedas defender (están en §12). Los precios sin fuente van con "(a validar)".</w:t>
      </w:r>
    </w:p>
    <w:p>
      <w:pPr>
        <w:ind w:left="454" w:hanging="340"/>
      </w:pPr>
      <w:r>
        <w:rPr>
          <w:b w:val="0"/>
          <w:i w:val="0"/>
        </w:rPr>
        <w:t xml:space="preserve">4.  </w:t>
      </w:r>
      <w:r>
        <w:rPr>
          <w:b/>
          <w:i w:val="0"/>
        </w:rPr>
        <w:t>Coherencia entre bloques:</w:t>
      </w:r>
      <w:r>
        <w:rPr>
          <w:b w:val="0"/>
          <w:i w:val="0"/>
        </w:rPr>
        <w:t xml:space="preserve"> cada segmento debe tener su propuesta, su canal, su relación y su ingreso. Si un segmento no paga (Cali, academia), dilo.</w:t>
      </w:r>
    </w:p>
    <w:p>
      <w:pPr>
        <w:ind w:left="454" w:hanging="340"/>
      </w:pPr>
      <w:r>
        <w:rPr>
          <w:b w:val="0"/>
          <w:i w:val="0"/>
        </w:rPr>
        <w:t xml:space="preserve">5.  </w:t>
      </w:r>
      <w:r>
        <w:rPr>
          <w:b/>
          <w:i w:val="0"/>
        </w:rPr>
        <w:t>Hipótesis visibles:</w:t>
      </w:r>
      <w:r>
        <w:rPr>
          <w:b w:val="0"/>
          <w:i w:val="0"/>
        </w:rPr>
        <w:t xml:space="preserve"> IPS y EPS van marcadas como hipótesis.</w:t>
      </w:r>
    </w:p>
    <w:p>
      <w:pPr>
        <w:ind w:left="454" w:hanging="340"/>
      </w:pPr>
      <w:r>
        <w:rPr>
          <w:b w:val="0"/>
          <w:i w:val="0"/>
        </w:rPr>
        <w:t xml:space="preserve">6.  </w:t>
      </w:r>
      <w:r>
        <w:rPr>
          <w:b/>
          <w:i w:val="0"/>
        </w:rPr>
        <w:t>Mismo lenguaje en lienzo, deck y guion.</w:t>
      </w:r>
      <w:r>
        <w:rPr>
          <w:b w:val="0"/>
          <w:i w:val="0"/>
        </w:rPr>
        <w:t xml:space="preserve"> Si cambias una viñeta, cámbiala en la diapositiva 6 (lienzo completo) y en la diapositiva del bloque.</w:t>
      </w:r>
    </w:p>
    <w:p>
      <w:pPr>
        <w:ind w:left="454" w:hanging="340"/>
      </w:pPr>
      <w:r>
        <w:rPr>
          <w:b w:val="0"/>
          <w:i w:val="0"/>
        </w:rPr>
        <w:t xml:space="preserve">7.  </w:t>
      </w:r>
      <w:r>
        <w:rPr>
          <w:b/>
          <w:i w:val="0"/>
        </w:rPr>
        <w:t>Lienzo en español o en inglés:</w:t>
      </w:r>
      <w:r>
        <w:rPr>
          <w:b w:val="0"/>
          <w:i w:val="0"/>
        </w:rPr>
        <w:t xml:space="preserve"> la pauta pide el lienzo para tu proyecto de grado; puedes entregar el lienzo en español y mostrar en el deck la versión en inglés (la bonificación es por </w:t>
      </w:r>
      <w:r>
        <w:rPr>
          <w:b w:val="0"/>
          <w:i/>
        </w:rPr>
        <w:t>presentar</w:t>
      </w:r>
      <w:r>
        <w:rPr>
          <w:b w:val="0"/>
          <w:i w:val="0"/>
        </w:rPr>
        <w:t xml:space="preserve"> en inglés).</w:t>
      </w:r>
    </w:p>
    <w:p>
      <w:r>
        <w:br w:type="page"/>
      </w:r>
    </w:p>
    <w:p>
      <w:pPr>
        <w:pStyle w:val="Heading1"/>
      </w:pPr>
      <w:r>
        <w:t>1. Propuesta de valor — Bloque 4 (1.° en la pauta)</w:t>
      </w:r>
    </w:p>
    <w:p>
      <w:r>
        <w:rPr>
          <w:b/>
          <w:i w:val="0"/>
        </w:rPr>
        <w:t>Qué pide el bloque.</w:t>
      </w:r>
      <w:r>
        <w:rPr>
          <w:b w:val="0"/>
          <w:i w:val="0"/>
        </w:rPr>
        <w:t xml:space="preserve"> El núcleo: qué problema resuelves, para quién, y por qué te elegirían a ti y no la alternativa (no hacer nada, hacerlo a mano o esperar algo como DengueIA).</w:t>
      </w:r>
    </w:p>
    <w:p>
      <w:pPr>
        <w:keepNext/>
        <w:spacing w:before="120"/>
      </w:pPr>
      <w:r>
        <w:rPr>
          <w:b/>
          <w:i w:val="0"/>
        </w:rPr>
        <w:t>Preguntas guía</w:t>
      </w:r>
    </w:p>
    <w:p>
      <w:pPr>
        <w:pStyle w:val="ListBullet"/>
      </w:pPr>
      <w:r>
        <w:rPr>
          <w:b w:val="0"/>
          <w:i w:val="0"/>
        </w:rPr>
        <w:t>¿Qué le duele hoy a la secretaría de salud de un municipio en riesgo muy alto cuando planea el control del mosquito?</w:t>
      </w:r>
    </w:p>
    <w:p>
      <w:pPr>
        <w:pStyle w:val="ListBullet"/>
      </w:pPr>
      <w:r>
        <w:rPr>
          <w:b w:val="0"/>
          <w:i w:val="0"/>
        </w:rPr>
        <w:t>¿Qué decisión toma mejor con un mapa semanal por comuna?</w:t>
      </w:r>
    </w:p>
    <w:p>
      <w:pPr>
        <w:pStyle w:val="ListBullet"/>
      </w:pPr>
      <w:r>
        <w:rPr>
          <w:b w:val="0"/>
          <w:i w:val="0"/>
        </w:rPr>
        <w:t>¿Qué gana con que el código sea libre (sin licencia, sin depender de un proveedor)?</w:t>
      </w:r>
    </w:p>
    <w:p>
      <w:pPr>
        <w:pStyle w:val="ListBullet"/>
      </w:pPr>
      <w:r>
        <w:rPr>
          <w:b w:val="0"/>
          <w:i w:val="0"/>
        </w:rPr>
        <w:t>¿Qué gana la Gobernación al ver los 9 municipios en un solo mapa?</w:t>
      </w:r>
    </w:p>
    <w:p>
      <w:pPr>
        <w:pStyle w:val="ListBullet"/>
      </w:pPr>
      <w:r>
        <w:rPr>
          <w:b w:val="0"/>
          <w:i w:val="0"/>
        </w:rPr>
        <w:t xml:space="preserve">¿En qué te diferencias de DengueIA </w:t>
      </w:r>
      <w:r>
        <w:rPr>
          <w:b/>
          <w:i w:val="0"/>
        </w:rPr>
        <w:t>sin</w:t>
      </w:r>
      <w:r>
        <w:rPr>
          <w:b w:val="0"/>
          <w:i w:val="0"/>
        </w:rPr>
        <w:t xml:space="preserve"> decir que eres más preciso?</w:t>
      </w:r>
    </w:p>
    <w:p>
      <w:pPr>
        <w:keepNext/>
        <w:spacing w:before="120"/>
      </w:pPr>
      <w:r>
        <w:rPr>
          <w:b/>
          <w:i w:val="0"/>
        </w:rPr>
        <w:t>Datos útiles (con fuente)</w:t>
      </w:r>
    </w:p>
    <w:p>
      <w:pPr>
        <w:pStyle w:val="ListBullet"/>
      </w:pPr>
      <w:r>
        <w:rPr>
          <w:b w:val="0"/>
          <w:i w:val="0"/>
        </w:rPr>
        <w:t xml:space="preserve">Cali tuvo </w:t>
      </w:r>
      <w:r>
        <w:rPr>
          <w:b/>
          <w:i w:val="0"/>
        </w:rPr>
        <w:t>1.520 casos por 100.000 hab.</w:t>
      </w:r>
      <w:r>
        <w:rPr>
          <w:b w:val="0"/>
          <w:i w:val="0"/>
        </w:rPr>
        <w:t xml:space="preserve"> en 2024, frente a </w:t>
      </w:r>
      <w:r>
        <w:rPr>
          <w:b/>
          <w:i w:val="0"/>
        </w:rPr>
        <w:t>937</w:t>
      </w:r>
      <w:r>
        <w:rPr>
          <w:b w:val="0"/>
          <w:i w:val="0"/>
        </w:rPr>
        <w:t xml:space="preserve"> del país [T1-I18].</w:t>
      </w:r>
    </w:p>
    <w:p>
      <w:pPr>
        <w:pStyle w:val="ListBullet"/>
      </w:pPr>
      <w:r>
        <w:rPr>
          <w:b/>
          <w:i w:val="0"/>
        </w:rPr>
        <w:t>9 municipios</w:t>
      </w:r>
      <w:r>
        <w:rPr>
          <w:b w:val="0"/>
          <w:i w:val="0"/>
        </w:rPr>
        <w:t xml:space="preserve"> del Valle en riesgo muy alto de transmisión: Cali, Buga, Candelaria, Yumbo, Palmira, Tuluá, Cartago, Florida y Jamundí [T1-I22].</w:t>
      </w:r>
    </w:p>
    <w:p>
      <w:pPr>
        <w:pStyle w:val="ListBullet"/>
      </w:pPr>
      <w:r>
        <w:rPr>
          <w:b w:val="0"/>
          <w:i w:val="0"/>
        </w:rPr>
        <w:t xml:space="preserve">DengueIA (Cali) reportó </w:t>
      </w:r>
      <w:r>
        <w:rPr>
          <w:b/>
          <w:i w:val="0"/>
        </w:rPr>
        <w:t>93 %</w:t>
      </w:r>
      <w:r>
        <w:rPr>
          <w:b w:val="0"/>
          <w:i w:val="0"/>
        </w:rPr>
        <w:t xml:space="preserve"> de efectividad y alertas </w:t>
      </w:r>
      <w:r>
        <w:rPr>
          <w:b/>
          <w:i w:val="0"/>
        </w:rPr>
        <w:t>hasta 3 semanas</w:t>
      </w:r>
      <w:r>
        <w:rPr>
          <w:b w:val="0"/>
          <w:i w:val="0"/>
        </w:rPr>
        <w:t xml:space="preserve"> antes, en </w:t>
      </w:r>
      <w:r>
        <w:rPr>
          <w:b/>
          <w:i w:val="0"/>
        </w:rPr>
        <w:t>174 zonas de 1 km²</w:t>
      </w:r>
      <w:r>
        <w:rPr>
          <w:b w:val="0"/>
          <w:i w:val="0"/>
        </w:rPr>
        <w:t xml:space="preserve"> con </w:t>
      </w:r>
      <w:r>
        <w:rPr>
          <w:b/>
          <w:i w:val="0"/>
        </w:rPr>
        <w:t>~2,2 millones</w:t>
      </w:r>
      <w:r>
        <w:rPr>
          <w:b w:val="0"/>
          <w:i w:val="0"/>
        </w:rPr>
        <w:t xml:space="preserve"> de habitantes; la nota de Icesi </w:t>
      </w:r>
      <w:r>
        <w:rPr>
          <w:b/>
          <w:i w:val="0"/>
        </w:rPr>
        <w:t>no menciona</w:t>
      </w:r>
      <w:r>
        <w:rPr>
          <w:b w:val="0"/>
          <w:i w:val="0"/>
        </w:rPr>
        <w:t xml:space="preserve"> código ni datos abiertos ni otros municipios [T2 §10; T1-I18].</w:t>
      </w:r>
    </w:p>
    <w:p>
      <w:pPr>
        <w:pStyle w:val="ListBullet"/>
      </w:pPr>
      <w:r>
        <w:rPr>
          <w:b w:val="0"/>
          <w:i w:val="0"/>
        </w:rPr>
        <w:t xml:space="preserve">La evidencia para Cali muestra que el clima de </w:t>
      </w:r>
      <w:r>
        <w:rPr>
          <w:b/>
          <w:i w:val="0"/>
        </w:rPr>
        <w:t>2 a 5 semanas antes</w:t>
      </w:r>
      <w:r>
        <w:rPr>
          <w:b w:val="0"/>
          <w:i w:val="0"/>
        </w:rPr>
        <w:t xml:space="preserve"> mejora la predicción por barrio [PREV-T2 F1].</w:t>
      </w:r>
    </w:p>
    <w:p>
      <w:pPr>
        <w:pStyle w:val="ListBullet"/>
      </w:pPr>
      <w:r>
        <w:rPr>
          <w:b w:val="0"/>
          <w:i w:val="0"/>
        </w:rPr>
        <w:t xml:space="preserve">El costo de infraestructura del prototipo puede ser </w:t>
      </w:r>
      <w:r>
        <w:rPr>
          <w:b/>
          <w:i w:val="0"/>
        </w:rPr>
        <w:t>$0</w:t>
      </w:r>
      <w:r>
        <w:rPr>
          <w:b w:val="0"/>
          <w:i w:val="0"/>
        </w:rPr>
        <w:t xml:space="preserve"> (NASA POWER, GitHub Free y Streamlit Community Cloud son gratuitos) [T2 §9.1].</w:t>
      </w:r>
    </w:p>
    <w:p>
      <w:pPr>
        <w:keepNext/>
        <w:spacing w:before="120"/>
      </w:pPr>
      <w:r>
        <w:rPr>
          <w:b/>
          <w:i w:val="0"/>
        </w:rPr>
        <w:t>Errores comunes</w:t>
      </w:r>
    </w:p>
    <w:p>
      <w:pPr>
        <w:pStyle w:val="ListBullet"/>
      </w:pPr>
      <w:r>
        <w:rPr>
          <w:b w:val="0"/>
          <w:i w:val="0"/>
        </w:rPr>
        <w:t>Describir la tecnología en vez del beneficio ("usa XGBoost" no es una propuesta de valor).</w:t>
      </w:r>
    </w:p>
    <w:p>
      <w:pPr>
        <w:pStyle w:val="ListBullet"/>
      </w:pPr>
      <w:r>
        <w:rPr>
          <w:b w:val="0"/>
          <w:i w:val="0"/>
        </w:rPr>
        <w:t xml:space="preserve">Prometer que "previene el dengue": la herramienta </w:t>
      </w:r>
      <w:r>
        <w:rPr>
          <w:b/>
          <w:i w:val="0"/>
        </w:rPr>
        <w:t>predice y alerta</w:t>
      </w:r>
      <w:r>
        <w:rPr>
          <w:b w:val="0"/>
          <w:i w:val="0"/>
        </w:rPr>
        <w:t>; la prevención la hace la secretaría.</w:t>
      </w:r>
    </w:p>
    <w:p>
      <w:pPr>
        <w:pStyle w:val="ListBullet"/>
      </w:pPr>
      <w:r>
        <w:rPr>
          <w:b w:val="0"/>
          <w:i w:val="0"/>
        </w:rPr>
        <w:t>Decir que es "más preciso que DengueIA" o poner "93 %" como si fuera tu resultado: es el de DengueIA y tú aún no has entrenado tu modelo.</w:t>
      </w:r>
    </w:p>
    <w:p>
      <w:pPr>
        <w:pStyle w:val="ListBullet"/>
      </w:pPr>
      <w:r>
        <w:rPr>
          <w:b w:val="0"/>
          <w:i w:val="0"/>
        </w:rPr>
        <w:t>Una sola frase genérica para todos los segmentos.</w:t>
      </w:r>
    </w:p>
    <w:p>
      <w:pPr>
        <w:keepNext/>
        <w:spacing w:before="120"/>
      </w:pPr>
      <w:r>
        <w:rPr>
          <w:b/>
          <w:i w:val="0"/>
        </w:rPr>
        <w:t>Propuesta de referencia (ES)</w:t>
      </w:r>
    </w:p>
    <w:p>
      <w:r>
        <w:rPr>
          <w:b w:val="0"/>
          <w:i w:val="0"/>
        </w:rPr>
        <w:t>Alerta temprana de dengue, abierta y de bajo costo, para los municipios del Valle que no cuentan con un sistema como DengueIA. Cada semana, AedesAlert estima el riesgo por comuna con datos abiertos (casos del SIVIGILA y clima de NASA POWER) y lo muestra en un mapa semáforo, para que la secretaría de salud decida antes dónde focalizar el control del mosquito. El código es libre: la entidad no paga licencias, no queda atada a un proveedor y puede replicarlo en otro municipio. La Gobernación puede ver los 9 municipios en riesgo muy alto en un mismo mapa. AedesAlert complementa a DengueIA; no compite con él.</w:t>
      </w:r>
    </w:p>
    <w:p>
      <w:pPr>
        <w:keepNext/>
        <w:spacing w:before="160"/>
      </w:pPr>
      <w:r>
        <w:rPr>
          <w:b/>
          <w:i w:val="0"/>
        </w:rPr>
        <w:t>Texto corto para pegar — Versión corta para la plantilla (ES, 37 palabras)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12" w:color="000000"/>
          <w:left w:val="single" w:sz="12" w:color="000000"/>
          <w:bottom w:val="single" w:sz="12" w:color="000000"/>
          <w:right w:val="single" w:sz="12" w:color="000000"/>
          <w:insideH w:val="single" w:sz="12" w:color="000000"/>
          <w:insideV w:val="single" w:sz="12" w:color="000000"/>
        </w:tblBorders>
      </w:tblPr>
      <w:tblGrid>
        <w:gridCol w:w="9360"/>
      </w:tblGrid>
      <w:tr>
        <w:tc>
          <w:tcPr>
            <w:tcW w:type="dxa" w:w="9360"/>
          </w:tcPr>
          <w:p>
            <w:pPr>
              <w:keepNext/>
              <w:spacing w:line="276" w:lineRule="auto" w:after="40"/>
              <w:ind w:left="283" w:hanging="227"/>
            </w:pPr>
            <w:r/>
            <w:r>
              <w:rPr>
                <w:b w:val="0"/>
                <w:i w:val="0"/>
                <w:sz w:val="22"/>
              </w:rPr>
              <w:t>• Mapa semanal de riesgo de dengue por comuna (semáforo)</w:t>
            </w:r>
          </w:p>
          <w:p>
            <w:pPr>
              <w:keepNext/>
              <w:spacing w:line="276" w:lineRule="auto" w:after="40"/>
              <w:ind w:left="283" w:hanging="227"/>
            </w:pPr>
            <w:r>
              <w:rPr>
                <w:b w:val="0"/>
                <w:i w:val="0"/>
                <w:sz w:val="22"/>
              </w:rPr>
              <w:t>• Anticipa dónde focalizar el control del mosquito</w:t>
            </w:r>
          </w:p>
          <w:p>
            <w:pPr>
              <w:keepNext/>
              <w:spacing w:line="276" w:lineRule="auto" w:after="40"/>
              <w:ind w:left="283" w:hanging="227"/>
            </w:pPr>
            <w:r>
              <w:rPr>
                <w:b w:val="0"/>
                <w:i w:val="0"/>
                <w:sz w:val="22"/>
              </w:rPr>
              <w:t>• Datos abiertos y código libre: sin licencias</w:t>
            </w:r>
          </w:p>
          <w:p>
            <w:pPr>
              <w:keepNext/>
              <w:spacing w:line="276" w:lineRule="auto" w:after="40"/>
              <w:ind w:left="283" w:hanging="227"/>
            </w:pPr>
            <w:r>
              <w:rPr>
                <w:b w:val="0"/>
                <w:i w:val="0"/>
                <w:sz w:val="22"/>
              </w:rPr>
              <w:t>• Replicable en los 8 municipios en riesgo muy alto</w:t>
            </w:r>
          </w:p>
          <w:p>
            <w:pPr>
              <w:keepNext/>
              <w:spacing w:line="276" w:lineRule="auto" w:after="40"/>
              <w:ind w:left="283" w:hanging="227"/>
            </w:pPr>
            <w:r>
              <w:rPr>
                <w:b w:val="0"/>
                <w:i w:val="0"/>
                <w:sz w:val="22"/>
              </w:rPr>
              <w:t>• Complemento de DengueIA, no competencia</w:t>
            </w:r>
          </w:p>
        </w:tc>
      </w:tr>
    </w:tbl>
    <w:p>
      <w:pPr>
        <w:spacing w:after="0"/>
      </w:pPr>
    </w:p>
    <w:p>
      <w:pPr>
        <w:keepNext/>
        <w:spacing w:before="120"/>
      </w:pPr>
      <w:r>
        <w:rPr>
          <w:b/>
          <w:i w:val="0"/>
        </w:rPr>
        <w:t>Reference proposal (EN)</w:t>
      </w:r>
    </w:p>
    <w:p>
      <w:r>
        <w:rPr>
          <w:b w:val="0"/>
          <w:i w:val="0"/>
        </w:rPr>
        <w:t>An open, low-cost dengue early-warning tool for the municipalities of Valle del Cauca that do not have a system like DengueIA. Every week, AedesAlert estimates dengue risk for each comuna (city district) using open data (SIVIGILA case reports and NASA POWER weather data) and shows it on a traffic-light map, so the local health secretariat can decide earlier where to focus mosquito control. The code is open source: no license fees, no vendor lock-in, and it can be replicated in another municipality. The departmental government can see all 9 very-high-risk municipalities on one map. AedesAlert complements DengueIA; it does not compete with it.</w:t>
      </w:r>
    </w:p>
    <w:p>
      <w:pPr>
        <w:keepNext/>
        <w:spacing w:before="160"/>
      </w:pPr>
      <w:r>
        <w:rPr>
          <w:b/>
          <w:i w:val="0"/>
        </w:rPr>
        <w:t>Short version (EN) — for the slide — Short version for the template (EN, 34 words)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12" w:color="000000"/>
          <w:left w:val="single" w:sz="12" w:color="000000"/>
          <w:bottom w:val="single" w:sz="12" w:color="000000"/>
          <w:right w:val="single" w:sz="12" w:color="000000"/>
          <w:insideH w:val="single" w:sz="12" w:color="000000"/>
          <w:insideV w:val="single" w:sz="12" w:color="000000"/>
        </w:tblBorders>
      </w:tblPr>
      <w:tblGrid>
        <w:gridCol w:w="9360"/>
      </w:tblGrid>
      <w:tr>
        <w:tc>
          <w:tcPr>
            <w:tcW w:type="dxa" w:w="9360"/>
          </w:tcPr>
          <w:p>
            <w:pPr>
              <w:keepNext/>
              <w:spacing w:line="276" w:lineRule="auto" w:after="40"/>
              <w:ind w:left="283" w:hanging="227"/>
            </w:pPr>
            <w:r/>
            <w:r>
              <w:rPr>
                <w:b w:val="0"/>
                <w:i w:val="0"/>
                <w:sz w:val="22"/>
              </w:rPr>
              <w:t>• Weekly dengue risk map by comuna (traffic light)</w:t>
            </w:r>
          </w:p>
          <w:p>
            <w:pPr>
              <w:keepNext/>
              <w:spacing w:line="276" w:lineRule="auto" w:after="40"/>
              <w:ind w:left="283" w:hanging="227"/>
            </w:pPr>
            <w:r>
              <w:rPr>
                <w:b w:val="0"/>
                <w:i w:val="0"/>
                <w:sz w:val="22"/>
              </w:rPr>
              <w:t>• Shows where to focus mosquito control first</w:t>
            </w:r>
          </w:p>
          <w:p>
            <w:pPr>
              <w:keepNext/>
              <w:spacing w:line="276" w:lineRule="auto" w:after="40"/>
              <w:ind w:left="283" w:hanging="227"/>
            </w:pPr>
            <w:r>
              <w:rPr>
                <w:b w:val="0"/>
                <w:i w:val="0"/>
                <w:sz w:val="22"/>
              </w:rPr>
              <w:t>• Open data and open-source code: no license fees</w:t>
            </w:r>
          </w:p>
          <w:p>
            <w:pPr>
              <w:keepNext/>
              <w:spacing w:line="276" w:lineRule="auto" w:after="40"/>
              <w:ind w:left="283" w:hanging="227"/>
            </w:pPr>
            <w:r>
              <w:rPr>
                <w:b w:val="0"/>
                <w:i w:val="0"/>
                <w:sz w:val="22"/>
              </w:rPr>
              <w:t>• Replicable in the 8 very-high-risk municipalities</w:t>
            </w:r>
          </w:p>
          <w:p>
            <w:pPr>
              <w:keepNext/>
              <w:spacing w:line="276" w:lineRule="auto" w:after="40"/>
              <w:ind w:left="283" w:hanging="227"/>
            </w:pPr>
            <w:r>
              <w:rPr>
                <w:b w:val="0"/>
                <w:i w:val="0"/>
                <w:sz w:val="22"/>
              </w:rPr>
              <w:t>• Complements DengueIA; does not compete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2. Segmentos de clientes — Bloque 7 (2.° en la pauta)</w:t>
      </w:r>
    </w:p>
    <w:p>
      <w:r>
        <w:rPr>
          <w:b/>
          <w:i w:val="0"/>
        </w:rPr>
        <w:t>Qué pide el bloque.</w:t>
      </w:r>
      <w:r>
        <w:rPr>
          <w:b w:val="0"/>
          <w:i w:val="0"/>
        </w:rPr>
        <w:t xml:space="preserve"> Para quién creas valor. En un bien público con código libre conviene separar </w:t>
      </w:r>
      <w:r>
        <w:rPr>
          <w:b/>
          <w:i w:val="0"/>
        </w:rPr>
        <w:t>clientes</w:t>
      </w:r>
      <w:r>
        <w:rPr>
          <w:b w:val="0"/>
          <w:i w:val="0"/>
        </w:rPr>
        <w:t xml:space="preserve"> (quien paga implementación, capacitación o soporte) de </w:t>
      </w:r>
      <w:r>
        <w:rPr>
          <w:b/>
          <w:i w:val="0"/>
        </w:rPr>
        <w:t>usuarios</w:t>
      </w:r>
      <w:r>
        <w:rPr>
          <w:b w:val="0"/>
          <w:i w:val="0"/>
        </w:rPr>
        <w:t xml:space="preserve"> (quien usa el mapa o el código sin pagar) [T2 §1.2].</w:t>
      </w:r>
    </w:p>
    <w:p>
      <w:pPr>
        <w:keepNext/>
        <w:spacing w:before="120"/>
      </w:pPr>
      <w:r>
        <w:rPr>
          <w:b/>
          <w:i w:val="0"/>
        </w:rPr>
        <w:t>Preguntas guía</w:t>
      </w:r>
    </w:p>
    <w:p>
      <w:pPr>
        <w:pStyle w:val="ListBullet"/>
      </w:pPr>
      <w:r>
        <w:rPr>
          <w:b w:val="0"/>
          <w:i w:val="0"/>
        </w:rPr>
        <w:t>¿Quién decide y quién paga? ¿Con qué presupuesto?</w:t>
      </w:r>
    </w:p>
    <w:p>
      <w:pPr>
        <w:pStyle w:val="ListBullet"/>
      </w:pPr>
      <w:r>
        <w:rPr>
          <w:b w:val="0"/>
          <w:i w:val="0"/>
        </w:rPr>
        <w:t>¿Qué segmento tiene evidencia de compra y cuál es solo una hipótesis?</w:t>
      </w:r>
    </w:p>
    <w:p>
      <w:pPr>
        <w:pStyle w:val="ListBullet"/>
      </w:pPr>
      <w:r>
        <w:rPr>
          <w:b w:val="0"/>
          <w:i w:val="0"/>
        </w:rPr>
        <w:t>¿Por qué Cali no es tu cliente principal si ya tiene DengueIA?</w:t>
      </w:r>
    </w:p>
    <w:p>
      <w:pPr>
        <w:pStyle w:val="ListBullet"/>
      </w:pPr>
      <w:r>
        <w:rPr>
          <w:b w:val="0"/>
          <w:i w:val="0"/>
        </w:rPr>
        <w:t>¿Es un mercado masivo o de nicho? (Es de nicho y del sector público: B2G.)</w:t>
      </w:r>
    </w:p>
    <w:p>
      <w:pPr>
        <w:keepNext/>
        <w:spacing w:before="120"/>
      </w:pPr>
      <w:r>
        <w:rPr>
          <w:b/>
          <w:i w:val="0"/>
        </w:rPr>
        <w:t>Datos útiles (con fuente)</w:t>
      </w:r>
    </w:p>
    <w:p>
      <w:pPr>
        <w:pStyle w:val="ListBullet"/>
      </w:pPr>
      <w:r>
        <w:rPr>
          <w:b w:val="0"/>
          <w:i w:val="0"/>
        </w:rPr>
        <w:t xml:space="preserve">Segmento principal: secretarías de salud de </w:t>
      </w:r>
      <w:r>
        <w:rPr>
          <w:b/>
          <w:i w:val="0"/>
        </w:rPr>
        <w:t>8 municipios</w:t>
      </w:r>
      <w:r>
        <w:rPr>
          <w:b w:val="0"/>
          <w:i w:val="0"/>
        </w:rPr>
        <w:t xml:space="preserve"> en riesgo muy alto (Buga, Candelaria, Cartago, Florida, Jamundí, Palmira, Tuluá y Yumbo) [T1-I22; T2 §1.1].</w:t>
      </w:r>
    </w:p>
    <w:p>
      <w:pPr>
        <w:pStyle w:val="ListBullet"/>
      </w:pPr>
      <w:r>
        <w:rPr>
          <w:b w:val="0"/>
          <w:i w:val="0"/>
        </w:rPr>
        <w:t>Según el protocolo de dengue del INS (2024), las secretarías departamentales deben monitorear comportamientos inusuales y garantizar la vigilancia virológica y entomológica; las EPS deben "analizar y usar la información epidemiológica" [T2 §1.1].</w:t>
      </w:r>
    </w:p>
    <w:p>
      <w:pPr>
        <w:pStyle w:val="ListBullet"/>
      </w:pPr>
      <w:r>
        <w:rPr>
          <w:b w:val="0"/>
          <w:i w:val="0"/>
        </w:rPr>
        <w:t xml:space="preserve">La Gobernación ya contrató servicios profesionales en un proyecto de dengue: </w:t>
      </w:r>
      <w:r>
        <w:rPr>
          <w:b/>
          <w:i w:val="0"/>
        </w:rPr>
        <w:t>$40.500.000</w:t>
      </w:r>
      <w:r>
        <w:rPr>
          <w:b w:val="0"/>
          <w:i w:val="0"/>
        </w:rPr>
        <w:t xml:space="preserve"> (enero de 2022) [T2 §1.1, §4.3].</w:t>
      </w:r>
    </w:p>
    <w:p>
      <w:pPr>
        <w:pStyle w:val="ListBullet"/>
      </w:pPr>
      <w:r>
        <w:rPr>
          <w:b w:val="0"/>
          <w:i w:val="0"/>
        </w:rPr>
        <w:t xml:space="preserve">Las IPS tienen poca capacidad de compra: la Secretaría de Salud del Valle reporta una cartera de </w:t>
      </w:r>
      <w:r>
        <w:rPr>
          <w:b/>
          <w:i w:val="0"/>
        </w:rPr>
        <w:t>más de $6 billones</w:t>
      </w:r>
      <w:r>
        <w:rPr>
          <w:b w:val="0"/>
          <w:i w:val="0"/>
        </w:rPr>
        <w:t xml:space="preserve"> con la red pública y privada [T1 §3.1].</w:t>
      </w:r>
    </w:p>
    <w:p>
      <w:pPr>
        <w:pStyle w:val="ListBullet"/>
      </w:pPr>
      <w:r>
        <w:rPr>
          <w:b/>
          <w:i w:val="0"/>
        </w:rPr>
        <w:t>No se encontró evidencia</w:t>
      </w:r>
      <w:r>
        <w:rPr>
          <w:b w:val="0"/>
          <w:i w:val="0"/>
        </w:rPr>
        <w:t xml:space="preserve"> de que IPS, EPS, laboratorios o aseguradoras compren tableros predictivos de dengue [T2 §1.1, §11].</w:t>
      </w:r>
    </w:p>
    <w:p>
      <w:pPr>
        <w:keepNext/>
        <w:spacing w:before="120"/>
      </w:pPr>
      <w:r>
        <w:rPr>
          <w:b/>
          <w:i w:val="0"/>
        </w:rPr>
        <w:t>Errores comunes</w:t>
      </w:r>
    </w:p>
    <w:p>
      <w:pPr>
        <w:pStyle w:val="ListBullet"/>
      </w:pPr>
      <w:r>
        <w:rPr>
          <w:b w:val="0"/>
          <w:i w:val="0"/>
        </w:rPr>
        <w:t>Poner "toda la población de Cali" como segmento: los ciudadanos no pagan ni operan el modelo.</w:t>
      </w:r>
    </w:p>
    <w:p>
      <w:pPr>
        <w:pStyle w:val="ListBullet"/>
      </w:pPr>
      <w:r>
        <w:rPr>
          <w:b w:val="0"/>
          <w:i w:val="0"/>
        </w:rPr>
        <w:t>Poner IPS y EPS como clientes confirmados (son hipótesis).</w:t>
      </w:r>
    </w:p>
    <w:p>
      <w:pPr>
        <w:pStyle w:val="ListBullet"/>
      </w:pPr>
      <w:r>
        <w:rPr>
          <w:b w:val="0"/>
          <w:i w:val="0"/>
        </w:rPr>
        <w:t>Poner a Cali como cliente principal: ya tiene DengueIA; es usuario de referencia.</w:t>
      </w:r>
    </w:p>
    <w:p>
      <w:pPr>
        <w:pStyle w:val="ListBullet"/>
      </w:pPr>
      <w:r>
        <w:rPr>
          <w:b w:val="0"/>
          <w:i w:val="0"/>
        </w:rPr>
        <w:t>Olvidar a la Gobernación, que es cliente y aliado a la vez.</w:t>
      </w:r>
    </w:p>
    <w:p>
      <w:pPr>
        <w:keepNext/>
        <w:spacing w:before="120"/>
      </w:pPr>
      <w:r>
        <w:rPr>
          <w:b/>
          <w:i w:val="0"/>
        </w:rPr>
        <w:t>Propuesta de referencia (ES)</w:t>
      </w:r>
    </w:p>
    <w:p>
      <w:pPr>
        <w:pStyle w:val="ListBullet"/>
      </w:pPr>
      <w:r>
        <w:rPr>
          <w:b/>
          <w:i w:val="0"/>
        </w:rPr>
        <w:t>Clientes que pagan (principal):</w:t>
      </w:r>
      <w:r>
        <w:rPr>
          <w:b w:val="0"/>
          <w:i w:val="0"/>
        </w:rPr>
        <w:t xml:space="preserve"> secretarías de salud de Buga, Candelaria, Cartago, Florida, Jamundí, Palmira, Tuluá y Yumbo, los 8 municipios en riesgo muy alto fuera de Cali. Necesitan focalizar el control vectorial y no se conoce un sistema predictivo equivalente al de Cali en esos municipios.</w:t>
      </w:r>
    </w:p>
    <w:p>
      <w:pPr>
        <w:pStyle w:val="ListBullet"/>
      </w:pPr>
      <w:r>
        <w:rPr>
          <w:b/>
          <w:i w:val="0"/>
        </w:rPr>
        <w:t>Cliente y aliado:</w:t>
      </w:r>
      <w:r>
        <w:rPr>
          <w:b w:val="0"/>
          <w:i w:val="0"/>
        </w:rPr>
        <w:t xml:space="preserve"> Secretaría Departamental de Salud del Valle (incluye el Laboratorio de Salud Pública), que vigila a todos los municipios.</w:t>
      </w:r>
    </w:p>
    <w:p>
      <w:pPr>
        <w:pStyle w:val="ListBullet"/>
      </w:pPr>
      <w:r>
        <w:rPr>
          <w:b/>
          <w:i w:val="0"/>
        </w:rPr>
        <w:t>Usuario de referencia (no cliente principal):</w:t>
      </w:r>
      <w:r>
        <w:rPr>
          <w:b w:val="0"/>
          <w:i w:val="0"/>
        </w:rPr>
        <w:t xml:space="preserve"> Secretaría de Salud Pública de Cali, que ya usa DengueIA; AedesAlert le sirve como referencia abierta por comuna.</w:t>
      </w:r>
    </w:p>
    <w:p>
      <w:pPr>
        <w:pStyle w:val="ListBullet"/>
      </w:pPr>
      <w:r>
        <w:rPr>
          <w:b/>
          <w:i w:val="0"/>
        </w:rPr>
        <w:t>Segmentos secundarios [hipótesis]:</w:t>
      </w:r>
      <w:r>
        <w:rPr>
          <w:b w:val="0"/>
          <w:i w:val="0"/>
        </w:rPr>
        <w:t xml:space="preserve"> IPS (preparar urgencias e insumos) y EPS (anticipar demanda de su población afiliada). Validar con entrevistas.</w:t>
      </w:r>
    </w:p>
    <w:p>
      <w:pPr>
        <w:pStyle w:val="ListBullet"/>
      </w:pPr>
      <w:r>
        <w:rPr>
          <w:b/>
          <w:i w:val="0"/>
        </w:rPr>
        <w:t>Usuarios que no pagan:</w:t>
      </w:r>
      <w:r>
        <w:rPr>
          <w:b w:val="0"/>
          <w:i w:val="0"/>
        </w:rPr>
        <w:t xml:space="preserve"> universidades, semilleros y desarrolladores que reutilizan el código.</w:t>
      </w:r>
    </w:p>
    <w:p>
      <w:pPr>
        <w:keepNext/>
        <w:spacing w:before="160"/>
      </w:pPr>
      <w:r>
        <w:rPr>
          <w:b/>
          <w:i w:val="0"/>
        </w:rPr>
        <w:t>Texto corto para pegar — Versión corta para la plantilla (ES, 45 palabras)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12" w:color="000000"/>
          <w:left w:val="single" w:sz="12" w:color="000000"/>
          <w:bottom w:val="single" w:sz="12" w:color="000000"/>
          <w:right w:val="single" w:sz="12" w:color="000000"/>
          <w:insideH w:val="single" w:sz="12" w:color="000000"/>
          <w:insideV w:val="single" w:sz="12" w:color="000000"/>
        </w:tblBorders>
      </w:tblPr>
      <w:tblGrid>
        <w:gridCol w:w="9360"/>
      </w:tblGrid>
      <w:tr>
        <w:tc>
          <w:tcPr>
            <w:tcW w:type="dxa" w:w="9360"/>
          </w:tcPr>
          <w:p>
            <w:pPr>
              <w:keepNext/>
              <w:spacing w:line="276" w:lineRule="auto" w:after="40"/>
              <w:ind w:left="283" w:hanging="227"/>
            </w:pPr>
            <w:r/>
            <w:r>
              <w:rPr>
                <w:b w:val="0"/>
                <w:i w:val="0"/>
                <w:sz w:val="22"/>
              </w:rPr>
              <w:t>• Pagan: secretarías de salud de Buga, Candelaria, Cartago, Florida, Jamundí, Palmira, Tuluá y Yumbo (riesgo muy alto)</w:t>
            </w:r>
          </w:p>
          <w:p>
            <w:pPr>
              <w:keepNext/>
              <w:spacing w:line="276" w:lineRule="auto" w:after="40"/>
              <w:ind w:left="283" w:hanging="227"/>
            </w:pPr>
            <w:r>
              <w:rPr>
                <w:b w:val="0"/>
                <w:i w:val="0"/>
                <w:sz w:val="22"/>
              </w:rPr>
              <w:t>• Cliente y aliado: Secretaría Departamental de Salud del Valle</w:t>
            </w:r>
          </w:p>
          <w:p>
            <w:pPr>
              <w:keepNext/>
              <w:spacing w:line="276" w:lineRule="auto" w:after="40"/>
              <w:ind w:left="283" w:hanging="227"/>
            </w:pPr>
            <w:r>
              <w:rPr>
                <w:b w:val="0"/>
                <w:i w:val="0"/>
                <w:sz w:val="22"/>
              </w:rPr>
              <w:t>• Usuario de referencia: Secretaría de Salud de Cali (usa DengueIA)</w:t>
            </w:r>
          </w:p>
          <w:p>
            <w:pPr>
              <w:keepNext/>
              <w:spacing w:line="276" w:lineRule="auto" w:after="40"/>
              <w:ind w:left="283" w:hanging="227"/>
            </w:pPr>
            <w:r>
              <w:rPr>
                <w:b w:val="0"/>
                <w:i w:val="0"/>
                <w:sz w:val="22"/>
              </w:rPr>
              <w:t>• Hipótesis: IPS y EPS</w:t>
            </w:r>
          </w:p>
          <w:p>
            <w:pPr>
              <w:keepNext/>
              <w:spacing w:line="276" w:lineRule="auto" w:after="40"/>
              <w:ind w:left="283" w:hanging="227"/>
            </w:pPr>
            <w:r>
              <w:rPr>
                <w:b w:val="0"/>
                <w:i w:val="0"/>
                <w:sz w:val="22"/>
              </w:rPr>
              <w:t>• Usuarios gratuitos: universidades y desarrolladores</w:t>
            </w:r>
          </w:p>
        </w:tc>
      </w:tr>
    </w:tbl>
    <w:p>
      <w:pPr>
        <w:spacing w:after="0"/>
      </w:pPr>
    </w:p>
    <w:p>
      <w:pPr>
        <w:keepNext/>
        <w:spacing w:before="120"/>
      </w:pPr>
      <w:r>
        <w:rPr>
          <w:b/>
          <w:i w:val="0"/>
        </w:rPr>
        <w:t>Reference proposal (EN)</w:t>
      </w:r>
    </w:p>
    <w:p>
      <w:pPr>
        <w:pStyle w:val="ListBullet"/>
      </w:pPr>
      <w:r>
        <w:rPr>
          <w:b/>
          <w:i w:val="0"/>
        </w:rPr>
        <w:t>Paying customers (main segment):</w:t>
      </w:r>
      <w:r>
        <w:rPr>
          <w:b w:val="0"/>
          <w:i w:val="0"/>
        </w:rPr>
        <w:t xml:space="preserve"> the municipal health secretariats of Buga, Candelaria, Cartago, Florida, Jamundí, Palmira, Tuluá and Yumbo, the 8 very-high-risk municipalities outside Cali. They need to focus mosquito control, and no system like Cali's is known in these municipalities.</w:t>
      </w:r>
    </w:p>
    <w:p>
      <w:pPr>
        <w:pStyle w:val="ListBullet"/>
      </w:pPr>
      <w:r>
        <w:rPr>
          <w:b/>
          <w:i w:val="0"/>
        </w:rPr>
        <w:t>Customer and ally:</w:t>
      </w:r>
      <w:r>
        <w:rPr>
          <w:b w:val="0"/>
          <w:i w:val="0"/>
        </w:rPr>
        <w:t xml:space="preserve"> the Valle del Cauca departmental health secretariat (including its Public Health Laboratory), which oversees all municipalities.</w:t>
      </w:r>
    </w:p>
    <w:p>
      <w:pPr>
        <w:pStyle w:val="ListBullet"/>
      </w:pPr>
      <w:r>
        <w:rPr>
          <w:b/>
          <w:i w:val="0"/>
        </w:rPr>
        <w:t>Reference user (not the main customer):</w:t>
      </w:r>
      <w:r>
        <w:rPr>
          <w:b w:val="0"/>
          <w:i w:val="0"/>
        </w:rPr>
        <w:t xml:space="preserve"> Cali's Public Health Secretariat, which already uses DengueIA; AedesAlert gives it an open, comuna-level reference.</w:t>
      </w:r>
    </w:p>
    <w:p>
      <w:pPr>
        <w:pStyle w:val="ListBullet"/>
      </w:pPr>
      <w:r>
        <w:rPr>
          <w:b/>
          <w:i w:val="0"/>
        </w:rPr>
        <w:t>Secondary segments [hypothesis]:</w:t>
      </w:r>
      <w:r>
        <w:rPr>
          <w:b w:val="0"/>
          <w:i w:val="0"/>
        </w:rPr>
        <w:t xml:space="preserve"> clinics and hospitals (IPS), to prepare emergency rooms and supplies, and health insurers (EPS), to anticipate demand. To be validated with interviews.</w:t>
      </w:r>
    </w:p>
    <w:p>
      <w:pPr>
        <w:pStyle w:val="ListBullet"/>
      </w:pPr>
      <w:r>
        <w:rPr>
          <w:b/>
          <w:i w:val="0"/>
        </w:rPr>
        <w:t>Non-paying users:</w:t>
      </w:r>
      <w:r>
        <w:rPr>
          <w:b w:val="0"/>
          <w:i w:val="0"/>
        </w:rPr>
        <w:t xml:space="preserve"> universities, student research groups and developers who reuse the code.</w:t>
      </w:r>
    </w:p>
    <w:p>
      <w:pPr>
        <w:keepNext/>
        <w:spacing w:before="160"/>
      </w:pPr>
      <w:r>
        <w:rPr>
          <w:b/>
          <w:i w:val="0"/>
        </w:rPr>
        <w:t>Short version (EN) — for the slide — Short version for the template (EN, 41 words)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12" w:color="000000"/>
          <w:left w:val="single" w:sz="12" w:color="000000"/>
          <w:bottom w:val="single" w:sz="12" w:color="000000"/>
          <w:right w:val="single" w:sz="12" w:color="000000"/>
          <w:insideH w:val="single" w:sz="12" w:color="000000"/>
          <w:insideV w:val="single" w:sz="12" w:color="000000"/>
        </w:tblBorders>
      </w:tblPr>
      <w:tblGrid>
        <w:gridCol w:w="9360"/>
      </w:tblGrid>
      <w:tr>
        <w:tc>
          <w:tcPr>
            <w:tcW w:type="dxa" w:w="9360"/>
          </w:tcPr>
          <w:p>
            <w:pPr>
              <w:keepNext/>
              <w:spacing w:line="276" w:lineRule="auto" w:after="40"/>
              <w:ind w:left="283" w:hanging="227"/>
            </w:pPr>
            <w:r/>
            <w:r>
              <w:rPr>
                <w:b w:val="0"/>
                <w:i w:val="0"/>
                <w:sz w:val="22"/>
              </w:rPr>
              <w:t>• Paying: health secretariats of Buga, Candelaria, Cartago, Florida, Jamundí, Palmira, Tuluá and Yumbo (very high risk)</w:t>
            </w:r>
          </w:p>
          <w:p>
            <w:pPr>
              <w:keepNext/>
              <w:spacing w:line="276" w:lineRule="auto" w:after="40"/>
              <w:ind w:left="283" w:hanging="227"/>
            </w:pPr>
            <w:r>
              <w:rPr>
                <w:b w:val="0"/>
                <w:i w:val="0"/>
                <w:sz w:val="22"/>
              </w:rPr>
              <w:t>• Customer and ally: Valle del Cauca health secretariat</w:t>
            </w:r>
          </w:p>
          <w:p>
            <w:pPr>
              <w:keepNext/>
              <w:spacing w:line="276" w:lineRule="auto" w:after="40"/>
              <w:ind w:left="283" w:hanging="227"/>
            </w:pPr>
            <w:r>
              <w:rPr>
                <w:b w:val="0"/>
                <w:i w:val="0"/>
                <w:sz w:val="22"/>
              </w:rPr>
              <w:t>• Reference user: Cali health secretariat (uses DengueIA)</w:t>
            </w:r>
          </w:p>
          <w:p>
            <w:pPr>
              <w:keepNext/>
              <w:spacing w:line="276" w:lineRule="auto" w:after="40"/>
              <w:ind w:left="283" w:hanging="227"/>
            </w:pPr>
            <w:r>
              <w:rPr>
                <w:b w:val="0"/>
                <w:i w:val="0"/>
                <w:sz w:val="22"/>
              </w:rPr>
              <w:t>• Hypothesis: clinics and insurers (IPS/EPS)</w:t>
            </w:r>
          </w:p>
          <w:p>
            <w:pPr>
              <w:keepNext/>
              <w:spacing w:line="276" w:lineRule="auto" w:after="40"/>
              <w:ind w:left="283" w:hanging="227"/>
            </w:pPr>
            <w:r>
              <w:rPr>
                <w:b w:val="0"/>
                <w:i w:val="0"/>
                <w:sz w:val="22"/>
              </w:rPr>
              <w:t>• Free users: universities and developers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3. Canales — Bloque 6 (3.° en la pauta)</w:t>
      </w:r>
    </w:p>
    <w:p>
      <w:r>
        <w:rPr>
          <w:b/>
          <w:i w:val="0"/>
        </w:rPr>
        <w:t>Qué pide el bloque.</w:t>
      </w:r>
      <w:r>
        <w:rPr>
          <w:b w:val="0"/>
          <w:i w:val="0"/>
        </w:rPr>
        <w:t xml:space="preserve"> Cómo llegas al cliente en cada fase: cómo te conoce, cómo te evalúa, cómo te compra, cómo recibe el producto y qué pasa después de la compra.</w:t>
      </w:r>
    </w:p>
    <w:p>
      <w:pPr>
        <w:keepNext/>
        <w:spacing w:before="120"/>
      </w:pPr>
      <w:r>
        <w:rPr>
          <w:b/>
          <w:i w:val="0"/>
        </w:rPr>
        <w:t>Preguntas guía</w:t>
      </w:r>
    </w:p>
    <w:p>
      <w:pPr>
        <w:pStyle w:val="ListBullet"/>
      </w:pPr>
      <w:r>
        <w:rPr>
          <w:b w:val="0"/>
          <w:i w:val="0"/>
        </w:rPr>
        <w:t>¿Dónde se entera una secretaría de una herramienta así?</w:t>
      </w:r>
    </w:p>
    <w:p>
      <w:pPr>
        <w:pStyle w:val="ListBullet"/>
      </w:pPr>
      <w:r>
        <w:rPr>
          <w:b w:val="0"/>
          <w:i w:val="0"/>
        </w:rPr>
        <w:t>¿Cómo compra legalmente una entidad pública un servicio a una persona o a una universidad?</w:t>
      </w:r>
    </w:p>
    <w:p>
      <w:pPr>
        <w:pStyle w:val="ListBullet"/>
      </w:pPr>
      <w:r>
        <w:rPr>
          <w:b w:val="0"/>
          <w:i w:val="0"/>
        </w:rPr>
        <w:t>¿Por dónde entregas el producto (mapa, código, reporte)?</w:t>
      </w:r>
    </w:p>
    <w:p>
      <w:pPr>
        <w:pStyle w:val="ListBullet"/>
      </w:pPr>
      <w:r>
        <w:rPr>
          <w:b w:val="0"/>
          <w:i w:val="0"/>
        </w:rPr>
        <w:t>¿Qué canal usas para el piloto, antes de vender?</w:t>
      </w:r>
    </w:p>
    <w:p>
      <w:pPr>
        <w:keepNext/>
        <w:spacing w:before="120"/>
      </w:pPr>
      <w:r>
        <w:rPr>
          <w:b/>
          <w:i w:val="0"/>
        </w:rPr>
        <w:t>Datos útiles (con fuente)</w:t>
      </w:r>
    </w:p>
    <w:p>
      <w:pPr>
        <w:pStyle w:val="ListBullet"/>
      </w:pPr>
      <w:r>
        <w:rPr>
          <w:b/>
          <w:i w:val="0"/>
        </w:rPr>
        <w:t>SECOP II</w:t>
      </w:r>
      <w:r>
        <w:rPr>
          <w:b w:val="0"/>
          <w:i w:val="0"/>
        </w:rPr>
        <w:t xml:space="preserve"> es la plataforma transaccional de la contratación pública; todos los contratos de referencia de T2 están publicados allí [T2 §2].</w:t>
      </w:r>
    </w:p>
    <w:p>
      <w:pPr>
        <w:pStyle w:val="ListBullet"/>
      </w:pPr>
      <w:r>
        <w:rPr>
          <w:b/>
          <w:i w:val="0"/>
        </w:rPr>
        <w:t>Contratación directa</w:t>
      </w:r>
      <w:r>
        <w:rPr>
          <w:b w:val="0"/>
          <w:i w:val="0"/>
        </w:rPr>
        <w:t xml:space="preserve"> (Ley 1150 de 2007, art. 2, num. 4): lit. h) servicios profesionales y de apoyo a la gestión; lit. e) actividades científicas y tecnológicas [T2 §2, §4.2].</w:t>
      </w:r>
    </w:p>
    <w:p>
      <w:pPr>
        <w:pStyle w:val="ListBullet"/>
      </w:pPr>
      <w:r>
        <w:rPr>
          <w:b/>
          <w:i w:val="0"/>
        </w:rPr>
        <w:t>Universidad como puente:</w:t>
      </w:r>
      <w:r>
        <w:rPr>
          <w:b w:val="0"/>
          <w:i w:val="0"/>
        </w:rPr>
        <w:t xml:space="preserve"> Cali contrató a la Fundación Universidad del Valle por </w:t>
      </w:r>
      <w:r>
        <w:rPr>
          <w:b/>
          <w:i w:val="0"/>
        </w:rPr>
        <w:t>$400 millones</w:t>
      </w:r>
      <w:r>
        <w:rPr>
          <w:b w:val="0"/>
          <w:i w:val="0"/>
        </w:rPr>
        <w:t xml:space="preserve"> (2020) para fortalecer la vigilancia epidemiológica [T2 §4.3].</w:t>
      </w:r>
    </w:p>
    <w:p>
      <w:pPr>
        <w:pStyle w:val="ListBullet"/>
      </w:pPr>
      <w:r>
        <w:rPr>
          <w:b/>
          <w:i w:val="0"/>
        </w:rPr>
        <w:t>COVE departamental:</w:t>
      </w:r>
      <w:r>
        <w:rPr>
          <w:b w:val="0"/>
          <w:i w:val="0"/>
        </w:rPr>
        <w:t xml:space="preserve"> las secretarías municipales deben participar en los comités de vigilancia del departamento (INS, 2024); allí coinciden los 9 municipios y la Gobernación [T2 §2].</w:t>
      </w:r>
    </w:p>
    <w:p>
      <w:pPr>
        <w:pStyle w:val="ListBullet"/>
      </w:pPr>
      <w:r>
        <w:rPr>
          <w:b/>
          <w:i w:val="0"/>
        </w:rPr>
        <w:t>Entrega gratuita:</w:t>
      </w:r>
      <w:r>
        <w:rPr>
          <w:b w:val="0"/>
          <w:i w:val="0"/>
        </w:rPr>
        <w:t xml:space="preserve"> repositorio público en GitHub y mapa web público en Streamlit [T2 §2, §9.1].</w:t>
      </w:r>
    </w:p>
    <w:p>
      <w:pPr>
        <w:keepNext/>
        <w:spacing w:before="120"/>
      </w:pPr>
      <w:r>
        <w:rPr>
          <w:b/>
          <w:i w:val="0"/>
        </w:rPr>
        <w:t>Errores comunes</w:t>
      </w:r>
    </w:p>
    <w:p>
      <w:pPr>
        <w:pStyle w:val="ListBullet"/>
      </w:pPr>
      <w:r>
        <w:rPr>
          <w:b w:val="0"/>
          <w:i w:val="0"/>
        </w:rPr>
        <w:t>Poner "redes sociales" o "app en tiendas" como canal principal: el cliente es una entidad pública.</w:t>
      </w:r>
    </w:p>
    <w:p>
      <w:pPr>
        <w:pStyle w:val="ListBullet"/>
      </w:pPr>
      <w:r>
        <w:rPr>
          <w:b w:val="0"/>
          <w:i w:val="0"/>
        </w:rPr>
        <w:t>Olvidar cómo se compra (SECOP II, contratación directa).</w:t>
      </w:r>
    </w:p>
    <w:p>
      <w:pPr>
        <w:pStyle w:val="ListBullet"/>
      </w:pPr>
      <w:r>
        <w:rPr>
          <w:b w:val="0"/>
          <w:i w:val="0"/>
        </w:rPr>
        <w:t>Confundir canal (cómo llegas) con relación (cómo mantienes al cliente).</w:t>
      </w:r>
    </w:p>
    <w:p>
      <w:pPr>
        <w:keepNext/>
        <w:spacing w:before="120"/>
      </w:pPr>
      <w:r>
        <w:rPr>
          <w:b/>
          <w:i w:val="0"/>
        </w:rPr>
        <w:t>Propuesta de referencia (ES)</w:t>
      </w:r>
    </w:p>
    <w:p>
      <w:pPr>
        <w:pStyle w:val="ListBullet"/>
      </w:pPr>
      <w:r>
        <w:rPr>
          <w:b/>
          <w:i w:val="0"/>
        </w:rPr>
        <w:t>Conocer:</w:t>
      </w:r>
      <w:r>
        <w:rPr>
          <w:b w:val="0"/>
          <w:i w:val="0"/>
        </w:rPr>
        <w:t xml:space="preserve"> presentación en el COVE departamental y demo pública (mapa web + repositorio en GitHub); difusión por NIDO, Tecnoparque y el Clúster de Excelencia Clínica.</w:t>
      </w:r>
    </w:p>
    <w:p>
      <w:pPr>
        <w:pStyle w:val="ListBullet"/>
      </w:pPr>
      <w:r>
        <w:rPr>
          <w:b/>
          <w:i w:val="0"/>
        </w:rPr>
        <w:t>Evaluar:</w:t>
      </w:r>
      <w:r>
        <w:rPr>
          <w:b w:val="0"/>
          <w:i w:val="0"/>
        </w:rPr>
        <w:t xml:space="preserve"> piloto con una secretaría (prototipo con las 22 comunas de Cali y luego un municipio).</w:t>
      </w:r>
    </w:p>
    <w:p>
      <w:pPr>
        <w:pStyle w:val="ListBullet"/>
      </w:pPr>
      <w:r>
        <w:rPr>
          <w:b/>
          <w:i w:val="0"/>
        </w:rPr>
        <w:t>Comprar:</w:t>
      </w:r>
      <w:r>
        <w:rPr>
          <w:b w:val="0"/>
          <w:i w:val="0"/>
        </w:rPr>
        <w:t xml:space="preserve"> SECOP II por contratación directa (servicios profesionales o actividades científicas y tecnológicas), o convenio a través de la UCC.</w:t>
      </w:r>
    </w:p>
    <w:p>
      <w:pPr>
        <w:pStyle w:val="ListBullet"/>
      </w:pPr>
      <w:r>
        <w:rPr>
          <w:b/>
          <w:i w:val="0"/>
        </w:rPr>
        <w:t>Entregar:</w:t>
      </w:r>
      <w:r>
        <w:rPr>
          <w:b w:val="0"/>
          <w:i w:val="0"/>
        </w:rPr>
        <w:t xml:space="preserve"> mapa web semanal, reporte y código en GitHub.</w:t>
      </w:r>
    </w:p>
    <w:p>
      <w:pPr>
        <w:pStyle w:val="ListBullet"/>
      </w:pPr>
      <w:r>
        <w:rPr>
          <w:b/>
          <w:i w:val="0"/>
        </w:rPr>
        <w:t>Posventa:</w:t>
      </w:r>
      <w:r>
        <w:rPr>
          <w:b w:val="0"/>
          <w:i w:val="0"/>
        </w:rPr>
        <w:t xml:space="preserve"> capacitación y soporte durante la vigencia.</w:t>
      </w:r>
    </w:p>
    <w:p>
      <w:pPr>
        <w:keepNext/>
        <w:spacing w:before="160"/>
      </w:pPr>
      <w:r>
        <w:rPr>
          <w:b/>
          <w:i w:val="0"/>
        </w:rPr>
        <w:t>Texto corto para pegar — Versión corta para la plantilla (ES, 30 palabras)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12" w:color="000000"/>
          <w:left w:val="single" w:sz="12" w:color="000000"/>
          <w:bottom w:val="single" w:sz="12" w:color="000000"/>
          <w:right w:val="single" w:sz="12" w:color="000000"/>
          <w:insideH w:val="single" w:sz="12" w:color="000000"/>
          <w:insideV w:val="single" w:sz="12" w:color="000000"/>
        </w:tblBorders>
      </w:tblPr>
      <w:tblGrid>
        <w:gridCol w:w="9360"/>
      </w:tblGrid>
      <w:tr>
        <w:tc>
          <w:tcPr>
            <w:tcW w:type="dxa" w:w="9360"/>
          </w:tcPr>
          <w:p>
            <w:pPr>
              <w:keepNext/>
              <w:spacing w:line="276" w:lineRule="auto" w:after="40"/>
              <w:ind w:left="283" w:hanging="227"/>
            </w:pPr>
            <w:r/>
            <w:r>
              <w:rPr>
                <w:b w:val="0"/>
                <w:i w:val="0"/>
                <w:sz w:val="22"/>
              </w:rPr>
              <w:t>• SECOP II y contratación directa</w:t>
            </w:r>
          </w:p>
          <w:p>
            <w:pPr>
              <w:keepNext/>
              <w:spacing w:line="276" w:lineRule="auto" w:after="40"/>
              <w:ind w:left="283" w:hanging="227"/>
            </w:pPr>
            <w:r>
              <w:rPr>
                <w:b w:val="0"/>
                <w:i w:val="0"/>
                <w:sz w:val="22"/>
              </w:rPr>
              <w:t>• Demo pública: mapa web + GitHub</w:t>
            </w:r>
          </w:p>
          <w:p>
            <w:pPr>
              <w:keepNext/>
              <w:spacing w:line="276" w:lineRule="auto" w:after="40"/>
              <w:ind w:left="283" w:hanging="227"/>
            </w:pPr>
            <w:r>
              <w:rPr>
                <w:b w:val="0"/>
                <w:i w:val="0"/>
                <w:sz w:val="22"/>
              </w:rPr>
              <w:t>• Presentación en el COVE departamental</w:t>
            </w:r>
          </w:p>
          <w:p>
            <w:pPr>
              <w:keepNext/>
              <w:spacing w:line="276" w:lineRule="auto" w:after="40"/>
              <w:ind w:left="283" w:hanging="227"/>
            </w:pPr>
            <w:r>
              <w:rPr>
                <w:b w:val="0"/>
                <w:i w:val="0"/>
                <w:sz w:val="22"/>
              </w:rPr>
              <w:t>• Convenio vía UCC</w:t>
            </w:r>
          </w:p>
          <w:p>
            <w:pPr>
              <w:keepNext/>
              <w:spacing w:line="276" w:lineRule="auto" w:after="40"/>
              <w:ind w:left="283" w:hanging="227"/>
            </w:pPr>
            <w:r>
              <w:rPr>
                <w:b w:val="0"/>
                <w:i w:val="0"/>
                <w:sz w:val="22"/>
              </w:rPr>
              <w:t>• NIDO, Tecnoparque y Clúster de Excelencia Clínica</w:t>
            </w:r>
          </w:p>
          <w:p>
            <w:pPr>
              <w:keepNext/>
              <w:spacing w:line="276" w:lineRule="auto" w:after="40"/>
              <w:ind w:left="283" w:hanging="227"/>
            </w:pPr>
            <w:r>
              <w:rPr>
                <w:b w:val="0"/>
                <w:i w:val="0"/>
                <w:sz w:val="22"/>
              </w:rPr>
              <w:t>• Piloto con una secretaría</w:t>
            </w:r>
          </w:p>
        </w:tc>
      </w:tr>
    </w:tbl>
    <w:p>
      <w:pPr>
        <w:spacing w:after="0"/>
      </w:pPr>
    </w:p>
    <w:p>
      <w:pPr>
        <w:keepNext/>
        <w:spacing w:before="120"/>
      </w:pPr>
      <w:r>
        <w:rPr>
          <w:b/>
          <w:i w:val="0"/>
        </w:rPr>
        <w:t>Reference proposal (EN)</w:t>
      </w:r>
    </w:p>
    <w:p>
      <w:pPr>
        <w:pStyle w:val="ListBullet"/>
      </w:pPr>
      <w:r>
        <w:rPr>
          <w:b/>
          <w:i w:val="0"/>
        </w:rPr>
        <w:t>Awareness:</w:t>
      </w:r>
      <w:r>
        <w:rPr>
          <w:b w:val="0"/>
          <w:i w:val="0"/>
        </w:rPr>
        <w:t xml:space="preserve"> a pitch at the departmental surveillance committee (COVE) and a public demo (web map + GitHub repository); outreach through NIDO, Tecnoparque and the Clinical Excellence Cluster.</w:t>
      </w:r>
    </w:p>
    <w:p>
      <w:pPr>
        <w:pStyle w:val="ListBullet"/>
      </w:pPr>
      <w:r>
        <w:rPr>
          <w:b/>
          <w:i w:val="0"/>
        </w:rPr>
        <w:t>Evaluation:</w:t>
      </w:r>
      <w:r>
        <w:rPr>
          <w:b w:val="0"/>
          <w:i w:val="0"/>
        </w:rPr>
        <w:t xml:space="preserve"> a pilot with one health secretariat (prototype with Cali's 22 comunas, then one municipality).</w:t>
      </w:r>
    </w:p>
    <w:p>
      <w:pPr>
        <w:pStyle w:val="ListBullet"/>
      </w:pPr>
      <w:r>
        <w:rPr>
          <w:b/>
          <w:i w:val="0"/>
        </w:rPr>
        <w:t>Purchase:</w:t>
      </w:r>
      <w:r>
        <w:rPr>
          <w:b w:val="0"/>
          <w:i w:val="0"/>
        </w:rPr>
        <w:t xml:space="preserve"> SECOP II, through direct contracting (professional services or science and technology activities), or an agreement through UCC.</w:t>
      </w:r>
    </w:p>
    <w:p>
      <w:pPr>
        <w:pStyle w:val="ListBullet"/>
      </w:pPr>
      <w:r>
        <w:rPr>
          <w:b/>
          <w:i w:val="0"/>
        </w:rPr>
        <w:t>Delivery:</w:t>
      </w:r>
      <w:r>
        <w:rPr>
          <w:b w:val="0"/>
          <w:i w:val="0"/>
        </w:rPr>
        <w:t xml:space="preserve"> weekly web map, report and code on GitHub.</w:t>
      </w:r>
    </w:p>
    <w:p>
      <w:pPr>
        <w:pStyle w:val="ListBullet"/>
      </w:pPr>
      <w:r>
        <w:rPr>
          <w:b/>
          <w:i w:val="0"/>
        </w:rPr>
        <w:t>After sales:</w:t>
      </w:r>
      <w:r>
        <w:rPr>
          <w:b w:val="0"/>
          <w:i w:val="0"/>
        </w:rPr>
        <w:t xml:space="preserve"> training and support during the contract year.</w:t>
      </w:r>
    </w:p>
    <w:p>
      <w:pPr>
        <w:keepNext/>
        <w:spacing w:before="160"/>
      </w:pPr>
      <w:r>
        <w:rPr>
          <w:b/>
          <w:i w:val="0"/>
        </w:rPr>
        <w:t>Short version (EN) — for the slide — Short version for the template (EN, 32 words)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12" w:color="000000"/>
          <w:left w:val="single" w:sz="12" w:color="000000"/>
          <w:bottom w:val="single" w:sz="12" w:color="000000"/>
          <w:right w:val="single" w:sz="12" w:color="000000"/>
          <w:insideH w:val="single" w:sz="12" w:color="000000"/>
          <w:insideV w:val="single" w:sz="12" w:color="000000"/>
        </w:tblBorders>
      </w:tblPr>
      <w:tblGrid>
        <w:gridCol w:w="9360"/>
      </w:tblGrid>
      <w:tr>
        <w:tc>
          <w:tcPr>
            <w:tcW w:type="dxa" w:w="9360"/>
          </w:tcPr>
          <w:p>
            <w:pPr>
              <w:keepNext/>
              <w:spacing w:line="276" w:lineRule="auto" w:after="40"/>
              <w:ind w:left="283" w:hanging="227"/>
            </w:pPr>
            <w:r/>
            <w:r>
              <w:rPr>
                <w:b w:val="0"/>
                <w:i w:val="0"/>
                <w:sz w:val="22"/>
              </w:rPr>
              <w:t>• SECOP II and direct public contracting</w:t>
            </w:r>
          </w:p>
          <w:p>
            <w:pPr>
              <w:keepNext/>
              <w:spacing w:line="276" w:lineRule="auto" w:after="40"/>
              <w:ind w:left="283" w:hanging="227"/>
            </w:pPr>
            <w:r>
              <w:rPr>
                <w:b w:val="0"/>
                <w:i w:val="0"/>
                <w:sz w:val="22"/>
              </w:rPr>
              <w:t>• Public demo: web map + GitHub</w:t>
            </w:r>
          </w:p>
          <w:p>
            <w:pPr>
              <w:keepNext/>
              <w:spacing w:line="276" w:lineRule="auto" w:after="40"/>
              <w:ind w:left="283" w:hanging="227"/>
            </w:pPr>
            <w:r>
              <w:rPr>
                <w:b w:val="0"/>
                <w:i w:val="0"/>
                <w:sz w:val="22"/>
              </w:rPr>
              <w:t>• Pitch at the departmental surveillance committee (COVE)</w:t>
            </w:r>
          </w:p>
          <w:p>
            <w:pPr>
              <w:keepNext/>
              <w:spacing w:line="276" w:lineRule="auto" w:after="40"/>
              <w:ind w:left="283" w:hanging="227"/>
            </w:pPr>
            <w:r>
              <w:rPr>
                <w:b w:val="0"/>
                <w:i w:val="0"/>
                <w:sz w:val="22"/>
              </w:rPr>
              <w:t>• Agreements through UCC</w:t>
            </w:r>
          </w:p>
          <w:p>
            <w:pPr>
              <w:keepNext/>
              <w:spacing w:line="276" w:lineRule="auto" w:after="40"/>
              <w:ind w:left="283" w:hanging="227"/>
            </w:pPr>
            <w:r>
              <w:rPr>
                <w:b w:val="0"/>
                <w:i w:val="0"/>
                <w:sz w:val="22"/>
              </w:rPr>
              <w:t>• NIDO, Tecnoparque, Clinical Excellence Cluster</w:t>
            </w:r>
          </w:p>
          <w:p>
            <w:pPr>
              <w:keepNext/>
              <w:spacing w:line="276" w:lineRule="auto" w:after="40"/>
              <w:ind w:left="283" w:hanging="227"/>
            </w:pPr>
            <w:r>
              <w:rPr>
                <w:b w:val="0"/>
                <w:i w:val="0"/>
                <w:sz w:val="22"/>
              </w:rPr>
              <w:t>• Pilot with one health secretariat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4. Relación con el cliente — Bloque 5 (4.° en la pauta)</w:t>
      </w:r>
    </w:p>
    <w:p>
      <w:r>
        <w:rPr>
          <w:b/>
          <w:i w:val="0"/>
        </w:rPr>
        <w:t>Qué pide el bloque.</w:t>
      </w:r>
      <w:r>
        <w:rPr>
          <w:b w:val="0"/>
          <w:i w:val="0"/>
        </w:rPr>
        <w:t xml:space="preserve"> Qué tipo de relación tienes con cada segmento para conseguirlo, mantenerlo y que vuelva a contratar.</w:t>
      </w:r>
    </w:p>
    <w:p>
      <w:pPr>
        <w:keepNext/>
        <w:spacing w:before="120"/>
      </w:pPr>
      <w:r>
        <w:rPr>
          <w:b/>
          <w:i w:val="0"/>
        </w:rPr>
        <w:t>Preguntas guía</w:t>
      </w:r>
    </w:p>
    <w:p>
      <w:pPr>
        <w:pStyle w:val="ListBullet"/>
      </w:pPr>
      <w:r>
        <w:rPr>
          <w:b w:val="0"/>
          <w:i w:val="0"/>
        </w:rPr>
        <w:t>¿La relación es personal, automatizada o de comunidad?</w:t>
      </w:r>
    </w:p>
    <w:p>
      <w:pPr>
        <w:pStyle w:val="ListBullet"/>
      </w:pPr>
      <w:r>
        <w:rPr>
          <w:b w:val="0"/>
          <w:i w:val="0"/>
        </w:rPr>
        <w:t>¿Cómo validas el mapa con quienes hacen el control del mosquito?</w:t>
      </w:r>
    </w:p>
    <w:p>
      <w:pPr>
        <w:pStyle w:val="ListBullet"/>
      </w:pPr>
      <w:r>
        <w:rPr>
          <w:b w:val="0"/>
          <w:i w:val="0"/>
        </w:rPr>
        <w:t>¿Cómo logras que la secretaría opere el modelo sin depender de ti?</w:t>
      </w:r>
    </w:p>
    <w:p>
      <w:pPr>
        <w:pStyle w:val="ListBullet"/>
      </w:pPr>
      <w:r>
        <w:rPr>
          <w:b w:val="0"/>
          <w:i w:val="0"/>
        </w:rPr>
        <w:t>¿Cada cuánto se renueva la relación comercial?</w:t>
      </w:r>
    </w:p>
    <w:p>
      <w:pPr>
        <w:keepNext/>
        <w:spacing w:before="120"/>
      </w:pPr>
      <w:r>
        <w:rPr>
          <w:b/>
          <w:i w:val="0"/>
        </w:rPr>
        <w:t>Datos útiles (con fuente)</w:t>
      </w:r>
    </w:p>
    <w:p>
      <w:pPr>
        <w:pStyle w:val="ListBullet"/>
      </w:pPr>
      <w:r>
        <w:rPr>
          <w:b w:val="0"/>
          <w:i w:val="0"/>
        </w:rPr>
        <w:t>DengueIA trabajó en co-creación: la Secretaría de Salud Pública de Cali aportó datos y validación [T2 §3].</w:t>
      </w:r>
    </w:p>
    <w:p>
      <w:pPr>
        <w:pStyle w:val="ListBullet"/>
      </w:pPr>
      <w:r>
        <w:rPr>
          <w:b w:val="0"/>
          <w:i w:val="0"/>
        </w:rPr>
        <w:t>Los contratos de salud pública se hacen por vigencia anual o semestral; la contratación del PIC se hace "a más tardar el 31 de marzo de cada vigencia" (Res. 295 de 2023) [T2 §3, §4.1].</w:t>
      </w:r>
    </w:p>
    <w:p>
      <w:pPr>
        <w:pStyle w:val="ListBullet"/>
      </w:pPr>
      <w:r>
        <w:rPr>
          <w:b w:val="0"/>
          <w:i w:val="0"/>
        </w:rPr>
        <w:t xml:space="preserve">La periodicidad semanal del reporte sigue a la semana epidemiológica de SIVIGILA [T2 §3, </w:t>
      </w:r>
      <w:r>
        <w:rPr>
          <w:b/>
          <w:i w:val="0"/>
        </w:rPr>
        <w:t>supuesto</w:t>
      </w:r>
      <w:r>
        <w:rPr>
          <w:b w:val="0"/>
          <w:i w:val="0"/>
        </w:rPr>
        <w:t xml:space="preserve"> sobre el uso].</w:t>
      </w:r>
    </w:p>
    <w:p>
      <w:pPr>
        <w:keepNext/>
        <w:spacing w:before="120"/>
      </w:pPr>
      <w:r>
        <w:rPr>
          <w:b/>
          <w:i w:val="0"/>
        </w:rPr>
        <w:t>Errores comunes</w:t>
      </w:r>
    </w:p>
    <w:p>
      <w:pPr>
        <w:pStyle w:val="ListBullet"/>
      </w:pPr>
      <w:r>
        <w:rPr>
          <w:b w:val="0"/>
          <w:i w:val="0"/>
        </w:rPr>
        <w:t>"Atención 24/7" o "chat con IA" sin un segmento que lo necesite.</w:t>
      </w:r>
    </w:p>
    <w:p>
      <w:pPr>
        <w:pStyle w:val="ListBullet"/>
      </w:pPr>
      <w:r>
        <w:rPr>
          <w:b w:val="0"/>
          <w:i w:val="0"/>
        </w:rPr>
        <w:t>Una relación que crea dependencia del autor: contradice el código libre.</w:t>
      </w:r>
    </w:p>
    <w:p>
      <w:pPr>
        <w:pStyle w:val="ListBullet"/>
      </w:pPr>
      <w:r>
        <w:rPr>
          <w:b w:val="0"/>
          <w:i w:val="0"/>
        </w:rPr>
        <w:t>Repetir los canales en este recuadro.</w:t>
      </w:r>
    </w:p>
    <w:p>
      <w:pPr>
        <w:keepNext/>
        <w:spacing w:before="120"/>
      </w:pPr>
      <w:r>
        <w:rPr>
          <w:b/>
          <w:i w:val="0"/>
        </w:rPr>
        <w:t>Propuesta de referencia (ES)</w:t>
      </w:r>
    </w:p>
    <w:p>
      <w:pPr>
        <w:pStyle w:val="ListBullet"/>
      </w:pPr>
      <w:r>
        <w:rPr>
          <w:b/>
          <w:i w:val="0"/>
        </w:rPr>
        <w:t>Co-creación:</w:t>
      </w:r>
      <w:r>
        <w:rPr>
          <w:b w:val="0"/>
          <w:i w:val="0"/>
        </w:rPr>
        <w:t xml:space="preserve"> validar el mapa con los técnicos de vectores (ETV) y salud ambiental de cada secretaría.</w:t>
      </w:r>
    </w:p>
    <w:p>
      <w:pPr>
        <w:pStyle w:val="ListBullet"/>
      </w:pPr>
      <w:r>
        <w:rPr>
          <w:b/>
          <w:i w:val="0"/>
        </w:rPr>
        <w:t>Acompañamiento semanal:</w:t>
      </w:r>
      <w:r>
        <w:rPr>
          <w:b w:val="0"/>
          <w:i w:val="0"/>
        </w:rPr>
        <w:t xml:space="preserve"> reporte o reunión corta con el riesgo de la semana.</w:t>
      </w:r>
    </w:p>
    <w:p>
      <w:pPr>
        <w:pStyle w:val="ListBullet"/>
      </w:pPr>
      <w:r>
        <w:rPr>
          <w:b/>
          <w:i w:val="0"/>
        </w:rPr>
        <w:t>Capacitación y transferencia:</w:t>
      </w:r>
      <w:r>
        <w:rPr>
          <w:b w:val="0"/>
          <w:i w:val="0"/>
        </w:rPr>
        <w:t xml:space="preserve"> para que el equipo de la secretaría opere el modelo por su cuenta.</w:t>
      </w:r>
    </w:p>
    <w:p>
      <w:pPr>
        <w:pStyle w:val="ListBullet"/>
      </w:pPr>
      <w:r>
        <w:rPr>
          <w:b/>
          <w:i w:val="0"/>
        </w:rPr>
        <w:t>Soporte por vigencia:</w:t>
      </w:r>
      <w:r>
        <w:rPr>
          <w:b w:val="0"/>
          <w:i w:val="0"/>
        </w:rPr>
        <w:t xml:space="preserve"> contrato anual que se renueva.</w:t>
      </w:r>
    </w:p>
    <w:p>
      <w:pPr>
        <w:pStyle w:val="ListBullet"/>
      </w:pPr>
      <w:r>
        <w:rPr>
          <w:b/>
          <w:i w:val="0"/>
        </w:rPr>
        <w:t>Comunidad abierta:</w:t>
      </w:r>
      <w:r>
        <w:rPr>
          <w:b w:val="0"/>
          <w:i w:val="0"/>
        </w:rPr>
        <w:t xml:space="preserve"> documentación, </w:t>
      </w:r>
      <w:r>
        <w:rPr>
          <w:b w:val="0"/>
          <w:i/>
        </w:rPr>
        <w:t>issues</w:t>
      </w:r>
      <w:r>
        <w:rPr>
          <w:b w:val="0"/>
          <w:i w:val="0"/>
        </w:rPr>
        <w:t xml:space="preserve"> y réplicas en GitHub.</w:t>
      </w:r>
    </w:p>
    <w:p>
      <w:pPr>
        <w:keepNext/>
        <w:spacing w:before="160"/>
      </w:pPr>
      <w:r>
        <w:rPr>
          <w:b/>
          <w:i w:val="0"/>
        </w:rPr>
        <w:t>Texto corto para pegar — Versión corta para la plantilla (ES, 28 palabras)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12" w:color="000000"/>
          <w:left w:val="single" w:sz="12" w:color="000000"/>
          <w:bottom w:val="single" w:sz="12" w:color="000000"/>
          <w:right w:val="single" w:sz="12" w:color="000000"/>
          <w:insideH w:val="single" w:sz="12" w:color="000000"/>
          <w:insideV w:val="single" w:sz="12" w:color="000000"/>
        </w:tblBorders>
      </w:tblPr>
      <w:tblGrid>
        <w:gridCol w:w="9360"/>
      </w:tblGrid>
      <w:tr>
        <w:tc>
          <w:tcPr>
            <w:tcW w:type="dxa" w:w="9360"/>
          </w:tcPr>
          <w:p>
            <w:pPr>
              <w:keepNext/>
              <w:spacing w:line="276" w:lineRule="auto" w:after="40"/>
              <w:ind w:left="283" w:hanging="227"/>
            </w:pPr>
            <w:r/>
            <w:r>
              <w:rPr>
                <w:b w:val="0"/>
                <w:i w:val="0"/>
                <w:sz w:val="22"/>
              </w:rPr>
              <w:t>• Co-creación: validar el mapa con técnicos de vectores</w:t>
            </w:r>
          </w:p>
          <w:p>
            <w:pPr>
              <w:keepNext/>
              <w:spacing w:line="276" w:lineRule="auto" w:after="40"/>
              <w:ind w:left="283" w:hanging="227"/>
            </w:pPr>
            <w:r>
              <w:rPr>
                <w:b w:val="0"/>
                <w:i w:val="0"/>
                <w:sz w:val="22"/>
              </w:rPr>
              <w:t>• Reporte semanal de riesgo</w:t>
            </w:r>
          </w:p>
          <w:p>
            <w:pPr>
              <w:keepNext/>
              <w:spacing w:line="276" w:lineRule="auto" w:after="40"/>
              <w:ind w:left="283" w:hanging="227"/>
            </w:pPr>
            <w:r>
              <w:rPr>
                <w:b w:val="0"/>
                <w:i w:val="0"/>
                <w:sz w:val="22"/>
              </w:rPr>
              <w:t>• Capacitación para operar sin depender del autor</w:t>
            </w:r>
          </w:p>
          <w:p>
            <w:pPr>
              <w:keepNext/>
              <w:spacing w:line="276" w:lineRule="auto" w:after="40"/>
              <w:ind w:left="283" w:hanging="227"/>
            </w:pPr>
            <w:r>
              <w:rPr>
                <w:b w:val="0"/>
                <w:i w:val="0"/>
                <w:sz w:val="22"/>
              </w:rPr>
              <w:t>• Soporte por contrato anual (vigencia)</w:t>
            </w:r>
          </w:p>
          <w:p>
            <w:pPr>
              <w:keepNext/>
              <w:spacing w:line="276" w:lineRule="auto" w:after="40"/>
              <w:ind w:left="283" w:hanging="227"/>
            </w:pPr>
            <w:r>
              <w:rPr>
                <w:b w:val="0"/>
                <w:i w:val="0"/>
                <w:sz w:val="22"/>
              </w:rPr>
              <w:t>• Comunidad abierta en GitHub</w:t>
            </w:r>
          </w:p>
        </w:tc>
      </w:tr>
    </w:tbl>
    <w:p>
      <w:pPr>
        <w:spacing w:after="0"/>
      </w:pPr>
    </w:p>
    <w:p>
      <w:pPr>
        <w:keepNext/>
        <w:spacing w:before="120"/>
      </w:pPr>
      <w:r>
        <w:rPr>
          <w:b/>
          <w:i w:val="0"/>
        </w:rPr>
        <w:t>Reference proposal (EN)</w:t>
      </w:r>
    </w:p>
    <w:p>
      <w:pPr>
        <w:pStyle w:val="ListBullet"/>
      </w:pPr>
      <w:r>
        <w:rPr>
          <w:b/>
          <w:i w:val="0"/>
        </w:rPr>
        <w:t>Co-creation:</w:t>
      </w:r>
      <w:r>
        <w:rPr>
          <w:b w:val="0"/>
          <w:i w:val="0"/>
        </w:rPr>
        <w:t xml:space="preserve"> validate the map with each secretariat's vector-control and environmental health staff.</w:t>
      </w:r>
    </w:p>
    <w:p>
      <w:pPr>
        <w:pStyle w:val="ListBullet"/>
      </w:pPr>
      <w:r>
        <w:rPr>
          <w:b/>
          <w:i w:val="0"/>
        </w:rPr>
        <w:t>Weekly follow-up:</w:t>
      </w:r>
      <w:r>
        <w:rPr>
          <w:b w:val="0"/>
          <w:i w:val="0"/>
        </w:rPr>
        <w:t xml:space="preserve"> a short report or meeting with the week's risk.</w:t>
      </w:r>
    </w:p>
    <w:p>
      <w:pPr>
        <w:pStyle w:val="ListBullet"/>
      </w:pPr>
      <w:r>
        <w:rPr>
          <w:b/>
          <w:i w:val="0"/>
        </w:rPr>
        <w:t>Training and handover:</w:t>
      </w:r>
      <w:r>
        <w:rPr>
          <w:b w:val="0"/>
          <w:i w:val="0"/>
        </w:rPr>
        <w:t xml:space="preserve"> so the secretariat's team can run the model on its own.</w:t>
      </w:r>
    </w:p>
    <w:p>
      <w:pPr>
        <w:pStyle w:val="ListBullet"/>
      </w:pPr>
      <w:r>
        <w:rPr>
          <w:b/>
          <w:i w:val="0"/>
        </w:rPr>
        <w:t>Yearly support:</w:t>
      </w:r>
      <w:r>
        <w:rPr>
          <w:b w:val="0"/>
          <w:i w:val="0"/>
        </w:rPr>
        <w:t xml:space="preserve"> a contract renewed every fiscal year.</w:t>
      </w:r>
    </w:p>
    <w:p>
      <w:pPr>
        <w:pStyle w:val="ListBullet"/>
      </w:pPr>
      <w:r>
        <w:rPr>
          <w:b/>
          <w:i w:val="0"/>
        </w:rPr>
        <w:t>Open community:</w:t>
      </w:r>
      <w:r>
        <w:rPr>
          <w:b w:val="0"/>
          <w:i w:val="0"/>
        </w:rPr>
        <w:t xml:space="preserve"> documentation, issues and replications on GitHub.</w:t>
      </w:r>
    </w:p>
    <w:p>
      <w:pPr>
        <w:keepNext/>
        <w:spacing w:before="160"/>
      </w:pPr>
      <w:r>
        <w:rPr>
          <w:b/>
          <w:i w:val="0"/>
        </w:rPr>
        <w:t>Short version (EN) — for the slide — Short version for the template (EN, 28 words)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12" w:color="000000"/>
          <w:left w:val="single" w:sz="12" w:color="000000"/>
          <w:bottom w:val="single" w:sz="12" w:color="000000"/>
          <w:right w:val="single" w:sz="12" w:color="000000"/>
          <w:insideH w:val="single" w:sz="12" w:color="000000"/>
          <w:insideV w:val="single" w:sz="12" w:color="000000"/>
        </w:tblBorders>
      </w:tblPr>
      <w:tblGrid>
        <w:gridCol w:w="9360"/>
      </w:tblGrid>
      <w:tr>
        <w:tc>
          <w:tcPr>
            <w:tcW w:type="dxa" w:w="9360"/>
          </w:tcPr>
          <w:p>
            <w:pPr>
              <w:keepNext/>
              <w:spacing w:line="276" w:lineRule="auto" w:after="40"/>
              <w:ind w:left="283" w:hanging="227"/>
            </w:pPr>
            <w:r/>
            <w:r>
              <w:rPr>
                <w:b w:val="0"/>
                <w:i w:val="0"/>
                <w:sz w:val="22"/>
              </w:rPr>
              <w:t>• Co-creation: validate the map with vector-control staff</w:t>
            </w:r>
          </w:p>
          <w:p>
            <w:pPr>
              <w:keepNext/>
              <w:spacing w:line="276" w:lineRule="auto" w:after="40"/>
              <w:ind w:left="283" w:hanging="227"/>
            </w:pPr>
            <w:r>
              <w:rPr>
                <w:b w:val="0"/>
                <w:i w:val="0"/>
                <w:sz w:val="22"/>
              </w:rPr>
              <w:t>• Weekly risk report</w:t>
            </w:r>
          </w:p>
          <w:p>
            <w:pPr>
              <w:keepNext/>
              <w:spacing w:line="276" w:lineRule="auto" w:after="40"/>
              <w:ind w:left="283" w:hanging="227"/>
            </w:pPr>
            <w:r>
              <w:rPr>
                <w:b w:val="0"/>
                <w:i w:val="0"/>
                <w:sz w:val="22"/>
              </w:rPr>
              <w:t>• Training so the team runs it on its own</w:t>
            </w:r>
          </w:p>
          <w:p>
            <w:pPr>
              <w:keepNext/>
              <w:spacing w:line="276" w:lineRule="auto" w:after="40"/>
              <w:ind w:left="283" w:hanging="227"/>
            </w:pPr>
            <w:r>
              <w:rPr>
                <w:b w:val="0"/>
                <w:i w:val="0"/>
                <w:sz w:val="22"/>
              </w:rPr>
              <w:t>• Support through a yearly contract</w:t>
            </w:r>
          </w:p>
          <w:p>
            <w:pPr>
              <w:keepNext/>
              <w:spacing w:line="276" w:lineRule="auto" w:after="40"/>
              <w:ind w:left="283" w:hanging="227"/>
            </w:pPr>
            <w:r>
              <w:rPr>
                <w:b w:val="0"/>
                <w:i w:val="0"/>
                <w:sz w:val="22"/>
              </w:rPr>
              <w:t>• Open community on GitHub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5. Fuentes de ingresos — Bloque 9 (5.° en la pauta)</w:t>
      </w:r>
    </w:p>
    <w:p>
      <w:r>
        <w:rPr>
          <w:b/>
          <w:i w:val="0"/>
        </w:rPr>
        <w:t>Qué pide el bloque.</w:t>
      </w:r>
      <w:r>
        <w:rPr>
          <w:b w:val="0"/>
          <w:i w:val="0"/>
        </w:rPr>
        <w:t xml:space="preserve"> Cómo genera dinero el modelo: quién paga, por qué y cómo (pago por servicio, suscripción, convenio, financiación por proyecto).</w:t>
      </w:r>
    </w:p>
    <w:p>
      <w:pPr>
        <w:keepNext/>
        <w:spacing w:before="120"/>
      </w:pPr>
      <w:r>
        <w:rPr>
          <w:b/>
          <w:i w:val="0"/>
        </w:rPr>
        <w:t>Preguntas guía</w:t>
      </w:r>
    </w:p>
    <w:p>
      <w:pPr>
        <w:pStyle w:val="ListBullet"/>
      </w:pPr>
      <w:r>
        <w:rPr>
          <w:b w:val="0"/>
          <w:i w:val="0"/>
        </w:rPr>
        <w:t>Si el código es gratis, ¿por qué te pagarían? (Por implementarlo, capacitar y dar soporte.)</w:t>
      </w:r>
    </w:p>
    <w:p>
      <w:pPr>
        <w:pStyle w:val="ListBullet"/>
      </w:pPr>
      <w:r>
        <w:rPr>
          <w:b w:val="0"/>
          <w:i w:val="0"/>
        </w:rPr>
        <w:t>¿Por qué el PIC no es tu puerta de entrada?</w:t>
      </w:r>
    </w:p>
    <w:p>
      <w:pPr>
        <w:pStyle w:val="ListBullet"/>
      </w:pPr>
      <w:r>
        <w:rPr>
          <w:b w:val="0"/>
          <w:i w:val="0"/>
        </w:rPr>
        <w:t>¿Qué ingresos son recurrentes y cuáles son de una sola vez (financiación de proyectos)?</w:t>
      </w:r>
    </w:p>
    <w:p>
      <w:pPr>
        <w:pStyle w:val="ListBullet"/>
      </w:pPr>
      <w:r>
        <w:rPr>
          <w:b w:val="0"/>
          <w:i w:val="0"/>
        </w:rPr>
        <w:t>¿Qué precio pondrías y en qué te basas? (Hoy es un supuesto.)</w:t>
      </w:r>
    </w:p>
    <w:p>
      <w:pPr>
        <w:keepNext/>
        <w:spacing w:before="120"/>
      </w:pPr>
      <w:r>
        <w:rPr>
          <w:b/>
          <w:i w:val="0"/>
        </w:rPr>
        <w:t>Datos útiles (con fuente)</w:t>
      </w:r>
    </w:p>
    <w:p>
      <w:pPr>
        <w:pStyle w:val="ListBullet"/>
      </w:pPr>
      <w:r>
        <w:rPr>
          <w:b/>
          <w:i w:val="0"/>
        </w:rPr>
        <w:t>Referencia de precio:</w:t>
      </w:r>
      <w:r>
        <w:rPr>
          <w:b w:val="0"/>
          <w:i w:val="0"/>
        </w:rPr>
        <w:t xml:space="preserve"> la Secretaría de Salud de Cali pagó </w:t>
      </w:r>
      <w:r>
        <w:rPr>
          <w:b/>
          <w:i w:val="0"/>
        </w:rPr>
        <w:t>$12.864.000</w:t>
      </w:r>
      <w:r>
        <w:rPr>
          <w:b w:val="0"/>
          <w:i w:val="0"/>
        </w:rPr>
        <w:t xml:space="preserve"> y </w:t>
      </w:r>
      <w:r>
        <w:rPr>
          <w:b/>
          <w:i w:val="0"/>
        </w:rPr>
        <w:t>$16.725.000</w:t>
      </w:r>
      <w:r>
        <w:rPr>
          <w:b w:val="0"/>
          <w:i w:val="0"/>
        </w:rPr>
        <w:t xml:space="preserve"> (oct-2023) por contratos de servicios profesionales de análisis de control de vectores [T2 §4.3].</w:t>
      </w:r>
    </w:p>
    <w:p>
      <w:pPr>
        <w:pStyle w:val="ListBullet"/>
      </w:pPr>
      <w:r>
        <w:rPr>
          <w:b/>
          <w:i w:val="0"/>
        </w:rPr>
        <w:t>El PIC va a la ESE local:</w:t>
      </w:r>
      <w:r>
        <w:rPr>
          <w:b w:val="0"/>
          <w:i w:val="0"/>
        </w:rPr>
        <w:t xml:space="preserve"> Palmira, </w:t>
      </w:r>
      <w:r>
        <w:rPr>
          <w:b/>
          <w:i w:val="0"/>
        </w:rPr>
        <w:t>$2.300 millones</w:t>
      </w:r>
      <w:r>
        <w:rPr>
          <w:b w:val="0"/>
          <w:i w:val="0"/>
        </w:rPr>
        <w:t xml:space="preserve"> para 2026 con el Hospital Raúl Orejuela Bueno; Tuluá, </w:t>
      </w:r>
      <w:r>
        <w:rPr>
          <w:b/>
          <w:i w:val="0"/>
        </w:rPr>
        <w:t>$1.160 millones</w:t>
      </w:r>
      <w:r>
        <w:rPr>
          <w:b w:val="0"/>
          <w:i w:val="0"/>
        </w:rPr>
        <w:t xml:space="preserve"> para el 2.° semestre de 2026 con la ESE Rubén Cruz Vélez. Por eso el PIC no es tu puerta de entrada [T2 §4.1].</w:t>
      </w:r>
    </w:p>
    <w:p>
      <w:pPr>
        <w:pStyle w:val="ListBullet"/>
      </w:pPr>
      <w:r>
        <w:rPr>
          <w:b/>
          <w:i w:val="0"/>
        </w:rPr>
        <w:t>Rubro de vigilancia de Cali:</w:t>
      </w:r>
      <w:r>
        <w:rPr>
          <w:b w:val="0"/>
          <w:i w:val="0"/>
        </w:rPr>
        <w:t xml:space="preserve"> </w:t>
      </w:r>
      <w:r>
        <w:rPr>
          <w:b/>
          <w:i w:val="0"/>
        </w:rPr>
        <w:t>$3.412 millones</w:t>
      </w:r>
      <w:r>
        <w:rPr>
          <w:b w:val="0"/>
          <w:i w:val="0"/>
        </w:rPr>
        <w:t xml:space="preserve"> en 2026 ("Vigilancia en Salud Pública y fortalecimiento de los laboratorios") [T1-I8].</w:t>
      </w:r>
    </w:p>
    <w:p>
      <w:pPr>
        <w:pStyle w:val="ListBullet"/>
      </w:pPr>
      <w:r>
        <w:rPr>
          <w:b/>
          <w:i w:val="0"/>
        </w:rPr>
        <w:t>Convenio universidad–entidad:</w:t>
      </w:r>
      <w:r>
        <w:rPr>
          <w:b w:val="0"/>
          <w:i w:val="0"/>
        </w:rPr>
        <w:t xml:space="preserve"> Cali–Fundación Univalle, </w:t>
      </w:r>
      <w:r>
        <w:rPr>
          <w:b/>
          <w:i w:val="0"/>
        </w:rPr>
        <w:t>$400 millones</w:t>
      </w:r>
      <w:r>
        <w:rPr>
          <w:b w:val="0"/>
          <w:i w:val="0"/>
        </w:rPr>
        <w:t xml:space="preserve"> (2020) [T2 §4.3].</w:t>
      </w:r>
    </w:p>
    <w:p>
      <w:pPr>
        <w:pStyle w:val="ListBullet"/>
      </w:pPr>
      <w:r>
        <w:rPr>
          <w:b/>
          <w:i w:val="0"/>
        </w:rPr>
        <w:t>Financiación por proyectos:</w:t>
      </w:r>
      <w:r>
        <w:rPr>
          <w:b w:val="0"/>
          <w:i w:val="0"/>
        </w:rPr>
        <w:t xml:space="preserve"> el SGR destina el </w:t>
      </w:r>
      <w:r>
        <w:rPr>
          <w:b/>
          <w:i w:val="0"/>
        </w:rPr>
        <w:t>10 %</w:t>
      </w:r>
      <w:r>
        <w:rPr>
          <w:b w:val="0"/>
          <w:i w:val="0"/>
        </w:rPr>
        <w:t xml:space="preserve"> de las regalías a CTeI por convocatorias para alianzas del SNCTI; precedente: el </w:t>
      </w:r>
      <w:r>
        <w:rPr>
          <w:b/>
          <w:i w:val="0"/>
        </w:rPr>
        <w:t>Programa AEDES</w:t>
      </w:r>
      <w:r>
        <w:rPr>
          <w:b w:val="0"/>
          <w:i w:val="0"/>
        </w:rPr>
        <w:t xml:space="preserve"> contra dengue, </w:t>
      </w:r>
      <w:r>
        <w:rPr>
          <w:b/>
          <w:i w:val="0"/>
        </w:rPr>
        <w:t>$14.770 millones</w:t>
      </w:r>
      <w:r>
        <w:rPr>
          <w:b w:val="0"/>
          <w:i w:val="0"/>
        </w:rPr>
        <w:t xml:space="preserve"> en total y </w:t>
      </w:r>
      <w:r>
        <w:rPr>
          <w:b/>
          <w:i w:val="0"/>
        </w:rPr>
        <w:t>$2.010 millones</w:t>
      </w:r>
      <w:r>
        <w:rPr>
          <w:b w:val="0"/>
          <w:i w:val="0"/>
        </w:rPr>
        <w:t xml:space="preserve"> para el Valle (incluyó Cali y Buga) [T2 §8]. Wellcome financió con </w:t>
      </w:r>
      <w:r>
        <w:rPr>
          <w:b/>
          <w:i w:val="0"/>
        </w:rPr>
        <w:t>£22,7 millones</w:t>
      </w:r>
      <w:r>
        <w:rPr>
          <w:b w:val="0"/>
          <w:i w:val="0"/>
        </w:rPr>
        <w:t xml:space="preserve"> a </w:t>
      </w:r>
      <w:r>
        <w:rPr>
          <w:b/>
          <w:i w:val="0"/>
        </w:rPr>
        <w:t>24 equipos en 12 países</w:t>
      </w:r>
      <w:r>
        <w:rPr>
          <w:b w:val="0"/>
          <w:i w:val="0"/>
        </w:rPr>
        <w:t xml:space="preserve"> herramientas clima–enfermedad con software abierto (2023) [T2 §8].</w:t>
      </w:r>
    </w:p>
    <w:p>
      <w:pPr>
        <w:pStyle w:val="ListBullet"/>
      </w:pPr>
      <w:r>
        <w:rPr>
          <w:b/>
          <w:i w:val="0"/>
        </w:rPr>
        <w:t>No se encontró</w:t>
      </w:r>
      <w:r>
        <w:rPr>
          <w:b w:val="0"/>
          <w:i w:val="0"/>
        </w:rPr>
        <w:t xml:space="preserve"> en SECOP II un contrato de software predictivo de dengue en el Valle [T2 §4.3].</w:t>
      </w:r>
    </w:p>
    <w:p>
      <w:pPr>
        <w:keepNext/>
        <w:spacing w:before="120"/>
      </w:pPr>
      <w:r>
        <w:rPr>
          <w:b/>
          <w:i w:val="0"/>
        </w:rPr>
        <w:t>Errores comunes</w:t>
      </w:r>
    </w:p>
    <w:p>
      <w:pPr>
        <w:pStyle w:val="ListBullet"/>
      </w:pPr>
      <w:r>
        <w:rPr>
          <w:b w:val="0"/>
          <w:i w:val="0"/>
        </w:rPr>
        <w:t>"Venta de licencias": contradice el código libre.</w:t>
      </w:r>
    </w:p>
    <w:p>
      <w:pPr>
        <w:pStyle w:val="ListBullet"/>
      </w:pPr>
      <w:r>
        <w:rPr>
          <w:b w:val="0"/>
          <w:i w:val="0"/>
        </w:rPr>
        <w:t>Poner el PIC como ingreso directo.</w:t>
      </w:r>
    </w:p>
    <w:p>
      <w:pPr>
        <w:pStyle w:val="ListBullet"/>
      </w:pPr>
      <w:r>
        <w:rPr>
          <w:b w:val="0"/>
          <w:i w:val="0"/>
        </w:rPr>
        <w:t>Poner un precio como si fuera un dato: escríbelo "(a validar)".</w:t>
      </w:r>
    </w:p>
    <w:p>
      <w:pPr>
        <w:pStyle w:val="ListBullet"/>
      </w:pPr>
      <w:r>
        <w:rPr>
          <w:b w:val="0"/>
          <w:i w:val="0"/>
        </w:rPr>
        <w:t>Mezclar financiación de proyectos (una vez) con ingresos recurrentes.</w:t>
      </w:r>
    </w:p>
    <w:p>
      <w:pPr>
        <w:pStyle w:val="ListBullet"/>
      </w:pPr>
      <w:r>
        <w:rPr>
          <w:b w:val="0"/>
          <w:i w:val="0"/>
        </w:rPr>
        <w:t>Publicidad o venta de datos: los datos de salud son sensibles (Ley 1581 de 2012) [T1 §3.4].</w:t>
      </w:r>
    </w:p>
    <w:p>
      <w:pPr>
        <w:keepNext/>
        <w:spacing w:before="120"/>
      </w:pPr>
      <w:r>
        <w:rPr>
          <w:b/>
          <w:i w:val="0"/>
        </w:rPr>
        <w:t>Propuesta de referencia (ES)</w:t>
      </w:r>
    </w:p>
    <w:p>
      <w:pPr>
        <w:pStyle w:val="ListBullet"/>
      </w:pPr>
      <w:r>
        <w:rPr>
          <w:b/>
          <w:i w:val="0"/>
        </w:rPr>
        <w:t>Principal — servicios a secretarías (recurrente):</w:t>
      </w:r>
      <w:r>
        <w:rPr>
          <w:b w:val="0"/>
          <w:i w:val="0"/>
        </w:rPr>
        <w:t xml:space="preserve"> implementación por municipio, capacitación y soporte anual, contratados por contratación directa. Precio por municipio </w:t>
      </w:r>
      <w:r>
        <w:rPr>
          <w:b/>
          <w:i w:val="0"/>
        </w:rPr>
        <w:t>[supuesto]</w:t>
      </w:r>
      <w:r>
        <w:rPr>
          <w:b w:val="0"/>
          <w:i w:val="0"/>
        </w:rPr>
        <w:t>, a validar; referencia: contratos de servicios de análisis de vectores de $12,9 a $16,7 millones (Cali, 2023).</w:t>
      </w:r>
    </w:p>
    <w:p>
      <w:pPr>
        <w:pStyle w:val="ListBullet"/>
      </w:pPr>
      <w:r>
        <w:rPr>
          <w:b/>
          <w:i w:val="0"/>
        </w:rPr>
        <w:t>Complementario — convenio universidad–entidad:</w:t>
      </w:r>
      <w:r>
        <w:rPr>
          <w:b w:val="0"/>
          <w:i w:val="0"/>
        </w:rPr>
        <w:t xml:space="preserve"> la UCC o su grupo de investigación como ejecutor (actividades científicas y tecnológicas).</w:t>
      </w:r>
    </w:p>
    <w:p>
      <w:pPr>
        <w:pStyle w:val="ListBullet"/>
      </w:pPr>
      <w:r>
        <w:rPr>
          <w:b/>
          <w:i w:val="0"/>
        </w:rPr>
        <w:t>Financiación de desarrollo (no recurrente):</w:t>
      </w:r>
      <w:r>
        <w:rPr>
          <w:b w:val="0"/>
          <w:i w:val="0"/>
        </w:rPr>
        <w:t xml:space="preserve"> convocatorias SGR-CTeI en alianza con la UCC; cooperación internacional que exige software abierto.</w:t>
      </w:r>
    </w:p>
    <w:p>
      <w:pPr>
        <w:pStyle w:val="ListBullet"/>
      </w:pPr>
      <w:r>
        <w:rPr>
          <w:b/>
          <w:i w:val="0"/>
        </w:rPr>
        <w:t>[Hipótesis] Suscripción para IPS/EPS:</w:t>
      </w:r>
      <w:r>
        <w:rPr>
          <w:b w:val="0"/>
          <w:i w:val="0"/>
        </w:rPr>
        <w:t xml:space="preserve"> funciones extra (alertas por sede, informes).</w:t>
      </w:r>
    </w:p>
    <w:p>
      <w:pPr>
        <w:pStyle w:val="ListBullet"/>
      </w:pPr>
      <w:r>
        <w:rPr>
          <w:b/>
          <w:i w:val="0"/>
        </w:rPr>
        <w:t>Capital semilla:</w:t>
      </w:r>
      <w:r>
        <w:rPr>
          <w:b w:val="0"/>
          <w:i w:val="0"/>
        </w:rPr>
        <w:t xml:space="preserve"> Fondo Emprender en el próximo ciclo.</w:t>
      </w:r>
    </w:p>
    <w:p>
      <w:pPr>
        <w:pStyle w:val="ListBullet"/>
      </w:pPr>
      <w:r>
        <w:rPr>
          <w:b w:val="0"/>
          <w:i w:val="0"/>
        </w:rPr>
        <w:t>El código y el mapa público siguen siendo gratuitos.</w:t>
      </w:r>
    </w:p>
    <w:p>
      <w:pPr>
        <w:keepNext/>
        <w:spacing w:before="160"/>
      </w:pPr>
      <w:r>
        <w:rPr>
          <w:b/>
          <w:i w:val="0"/>
        </w:rPr>
        <w:t>Texto corto para pegar — Versión corta para la plantilla (ES, 30 palabras)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12" w:color="000000"/>
          <w:left w:val="single" w:sz="12" w:color="000000"/>
          <w:bottom w:val="single" w:sz="12" w:color="000000"/>
          <w:right w:val="single" w:sz="12" w:color="000000"/>
          <w:insideH w:val="single" w:sz="12" w:color="000000"/>
          <w:insideV w:val="single" w:sz="12" w:color="000000"/>
        </w:tblBorders>
      </w:tblPr>
      <w:tblGrid>
        <w:gridCol w:w="9360"/>
      </w:tblGrid>
      <w:tr>
        <w:tc>
          <w:tcPr>
            <w:tcW w:type="dxa" w:w="9360"/>
          </w:tcPr>
          <w:p>
            <w:pPr>
              <w:keepNext/>
              <w:spacing w:line="276" w:lineRule="auto" w:after="40"/>
              <w:ind w:left="283" w:hanging="227"/>
            </w:pPr>
            <w:r/>
            <w:r>
              <w:rPr>
                <w:b w:val="0"/>
                <w:i w:val="0"/>
                <w:sz w:val="22"/>
              </w:rPr>
              <w:t>• Servicios a secretarías: implementación por municipio, capacitación y soporte anual (precio a validar)</w:t>
            </w:r>
          </w:p>
          <w:p>
            <w:pPr>
              <w:keepNext/>
              <w:spacing w:line="276" w:lineRule="auto" w:after="40"/>
              <w:ind w:left="283" w:hanging="227"/>
            </w:pPr>
            <w:r>
              <w:rPr>
                <w:b w:val="0"/>
                <w:i w:val="0"/>
                <w:sz w:val="22"/>
              </w:rPr>
              <w:t>• Convenio universidad–entidad (UCC)</w:t>
            </w:r>
          </w:p>
          <w:p>
            <w:pPr>
              <w:keepNext/>
              <w:spacing w:line="276" w:lineRule="auto" w:after="40"/>
              <w:ind w:left="283" w:hanging="227"/>
            </w:pPr>
            <w:r>
              <w:rPr>
                <w:b w:val="0"/>
                <w:i w:val="0"/>
                <w:sz w:val="22"/>
              </w:rPr>
              <w:t>• Proyectos: SGR-CTeI, cooperación internacional</w:t>
            </w:r>
          </w:p>
          <w:p>
            <w:pPr>
              <w:keepNext/>
              <w:spacing w:line="276" w:lineRule="auto" w:after="40"/>
              <w:ind w:left="283" w:hanging="227"/>
            </w:pPr>
            <w:r>
              <w:rPr>
                <w:b w:val="0"/>
                <w:i w:val="0"/>
                <w:sz w:val="22"/>
              </w:rPr>
              <w:t>• Hipótesis: suscripción IPS/EPS</w:t>
            </w:r>
          </w:p>
          <w:p>
            <w:pPr>
              <w:keepNext/>
              <w:spacing w:line="276" w:lineRule="auto" w:after="40"/>
              <w:ind w:left="283" w:hanging="227"/>
            </w:pPr>
            <w:r>
              <w:rPr>
                <w:b w:val="0"/>
                <w:i w:val="0"/>
                <w:sz w:val="22"/>
              </w:rPr>
              <w:t>• Capital semilla: Fondo Emprender</w:t>
            </w:r>
          </w:p>
          <w:p>
            <w:pPr>
              <w:keepNext/>
              <w:spacing w:line="276" w:lineRule="auto" w:after="40"/>
              <w:ind w:left="283" w:hanging="227"/>
            </w:pPr>
            <w:r>
              <w:rPr>
                <w:b w:val="0"/>
                <w:i w:val="0"/>
                <w:sz w:val="22"/>
              </w:rPr>
              <w:t>• Código siempre gratuito</w:t>
            </w:r>
          </w:p>
        </w:tc>
      </w:tr>
    </w:tbl>
    <w:p>
      <w:pPr>
        <w:spacing w:after="0"/>
      </w:pPr>
    </w:p>
    <w:p>
      <w:pPr>
        <w:keepNext/>
        <w:spacing w:before="120"/>
      </w:pPr>
      <w:r>
        <w:rPr>
          <w:b/>
          <w:i w:val="0"/>
        </w:rPr>
        <w:t>Reference proposal (EN)</w:t>
      </w:r>
    </w:p>
    <w:p>
      <w:pPr>
        <w:pStyle w:val="ListBullet"/>
      </w:pPr>
      <w:r>
        <w:rPr>
          <w:b/>
          <w:i w:val="0"/>
        </w:rPr>
        <w:t>Main — services for health secretariats (recurring):</w:t>
      </w:r>
      <w:r>
        <w:rPr>
          <w:b w:val="0"/>
          <w:i w:val="0"/>
        </w:rPr>
        <w:t xml:space="preserve"> setup per municipality, training and yearly support, hired through direct contracting. Price per municipality </w:t>
      </w:r>
      <w:r>
        <w:rPr>
          <w:b/>
          <w:i w:val="0"/>
        </w:rPr>
        <w:t>[assumption]</w:t>
      </w:r>
      <w:r>
        <w:rPr>
          <w:b w:val="0"/>
          <w:i w:val="0"/>
        </w:rPr>
        <w:t>, to be validated; benchmark: vector-control analysis contracts of COP 12.9 to 16.7 million (Cali, 2023).</w:t>
      </w:r>
    </w:p>
    <w:p>
      <w:pPr>
        <w:pStyle w:val="ListBullet"/>
      </w:pPr>
      <w:r>
        <w:rPr>
          <w:b/>
          <w:i w:val="0"/>
        </w:rPr>
        <w:t>Complementary — university–government agreements:</w:t>
      </w:r>
      <w:r>
        <w:rPr>
          <w:b w:val="0"/>
          <w:i w:val="0"/>
        </w:rPr>
        <w:t xml:space="preserve"> UCC or its research group as the contractor (science and technology activities).</w:t>
      </w:r>
    </w:p>
    <w:p>
      <w:pPr>
        <w:pStyle w:val="ListBullet"/>
      </w:pPr>
      <w:r>
        <w:rPr>
          <w:b/>
          <w:i w:val="0"/>
        </w:rPr>
        <w:t>Development funding (one-off):</w:t>
      </w:r>
      <w:r>
        <w:rPr>
          <w:b w:val="0"/>
          <w:i w:val="0"/>
        </w:rPr>
        <w:t xml:space="preserve"> royalties science fund calls (SGR-CTeI) in an alliance with UCC; international donors that require open-source software.</w:t>
      </w:r>
    </w:p>
    <w:p>
      <w:pPr>
        <w:pStyle w:val="ListBullet"/>
      </w:pPr>
      <w:r>
        <w:rPr>
          <w:b/>
          <w:i w:val="0"/>
        </w:rPr>
        <w:t>[Hypothesis] Subscription for clinics and insurers:</w:t>
      </w:r>
      <w:r>
        <w:rPr>
          <w:b w:val="0"/>
          <w:i w:val="0"/>
        </w:rPr>
        <w:t xml:space="preserve"> extra features (alerts by site, reports).</w:t>
      </w:r>
    </w:p>
    <w:p>
      <w:pPr>
        <w:pStyle w:val="ListBullet"/>
      </w:pPr>
      <w:r>
        <w:rPr>
          <w:b/>
          <w:i w:val="0"/>
        </w:rPr>
        <w:t>Seed capital:</w:t>
      </w:r>
      <w:r>
        <w:rPr>
          <w:b w:val="0"/>
          <w:i w:val="0"/>
        </w:rPr>
        <w:t xml:space="preserve"> Fondo Emprender in its next round.</w:t>
      </w:r>
    </w:p>
    <w:p>
      <w:pPr>
        <w:pStyle w:val="ListBullet"/>
      </w:pPr>
      <w:r>
        <w:rPr>
          <w:b w:val="0"/>
          <w:i w:val="0"/>
        </w:rPr>
        <w:t>The code and the public map stay free.</w:t>
      </w:r>
    </w:p>
    <w:p>
      <w:pPr>
        <w:keepNext/>
        <w:spacing w:before="160"/>
      </w:pPr>
      <w:r>
        <w:rPr>
          <w:b/>
          <w:i w:val="0"/>
        </w:rPr>
        <w:t>Short version (EN) — for the slide — Short version for the template (EN, 32 words)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12" w:color="000000"/>
          <w:left w:val="single" w:sz="12" w:color="000000"/>
          <w:bottom w:val="single" w:sz="12" w:color="000000"/>
          <w:right w:val="single" w:sz="12" w:color="000000"/>
          <w:insideH w:val="single" w:sz="12" w:color="000000"/>
          <w:insideV w:val="single" w:sz="12" w:color="000000"/>
        </w:tblBorders>
      </w:tblPr>
      <w:tblGrid>
        <w:gridCol w:w="9360"/>
      </w:tblGrid>
      <w:tr>
        <w:tc>
          <w:tcPr>
            <w:tcW w:type="dxa" w:w="9360"/>
          </w:tcPr>
          <w:p>
            <w:pPr>
              <w:keepNext/>
              <w:spacing w:line="276" w:lineRule="auto" w:after="40"/>
              <w:ind w:left="283" w:hanging="227"/>
            </w:pPr>
            <w:r/>
            <w:r>
              <w:rPr>
                <w:b w:val="0"/>
                <w:i w:val="0"/>
                <w:sz w:val="22"/>
              </w:rPr>
              <w:t>• Services for health secretariats: setup per municipality, training, yearly support (price to be validated)</w:t>
            </w:r>
          </w:p>
          <w:p>
            <w:pPr>
              <w:keepNext/>
              <w:spacing w:line="276" w:lineRule="auto" w:after="40"/>
              <w:ind w:left="283" w:hanging="227"/>
            </w:pPr>
            <w:r>
              <w:rPr>
                <w:b w:val="0"/>
                <w:i w:val="0"/>
                <w:sz w:val="22"/>
              </w:rPr>
              <w:t>• University–government agreements (UCC)</w:t>
            </w:r>
          </w:p>
          <w:p>
            <w:pPr>
              <w:keepNext/>
              <w:spacing w:line="276" w:lineRule="auto" w:after="40"/>
              <w:ind w:left="283" w:hanging="227"/>
            </w:pPr>
            <w:r>
              <w:rPr>
                <w:b w:val="0"/>
                <w:i w:val="0"/>
                <w:sz w:val="22"/>
              </w:rPr>
              <w:t>• Project funding: SGR-CTeI, international cooperation</w:t>
            </w:r>
          </w:p>
          <w:p>
            <w:pPr>
              <w:keepNext/>
              <w:spacing w:line="276" w:lineRule="auto" w:after="40"/>
              <w:ind w:left="283" w:hanging="227"/>
            </w:pPr>
            <w:r>
              <w:rPr>
                <w:b w:val="0"/>
                <w:i w:val="0"/>
                <w:sz w:val="22"/>
              </w:rPr>
              <w:t>• Hypothesis: clinic/insurer subscription</w:t>
            </w:r>
          </w:p>
          <w:p>
            <w:pPr>
              <w:keepNext/>
              <w:spacing w:line="276" w:lineRule="auto" w:after="40"/>
              <w:ind w:left="283" w:hanging="227"/>
            </w:pPr>
            <w:r>
              <w:rPr>
                <w:b w:val="0"/>
                <w:i w:val="0"/>
                <w:sz w:val="22"/>
              </w:rPr>
              <w:t>• Seed capital: Fondo Emprender</w:t>
            </w:r>
          </w:p>
          <w:p>
            <w:pPr>
              <w:keepNext/>
              <w:spacing w:line="276" w:lineRule="auto" w:after="40"/>
              <w:ind w:left="283" w:hanging="227"/>
            </w:pPr>
            <w:r>
              <w:rPr>
                <w:b w:val="0"/>
                <w:i w:val="0"/>
                <w:sz w:val="22"/>
              </w:rPr>
              <w:t>• Code always free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6. Recursos clave — Bloque 3 (6.° en la pauta)</w:t>
      </w:r>
    </w:p>
    <w:p>
      <w:r>
        <w:rPr>
          <w:b/>
          <w:i w:val="0"/>
        </w:rPr>
        <w:t>Qué pide el bloque.</w:t>
      </w:r>
      <w:r>
        <w:rPr>
          <w:b w:val="0"/>
          <w:i w:val="0"/>
        </w:rPr>
        <w:t xml:space="preserve"> Los activos sin los cuales el modelo no funciona: físicos, intelectuales, humanos y financieros.</w:t>
      </w:r>
    </w:p>
    <w:p>
      <w:pPr>
        <w:keepNext/>
        <w:spacing w:before="120"/>
      </w:pPr>
      <w:r>
        <w:rPr>
          <w:b/>
          <w:i w:val="0"/>
        </w:rPr>
        <w:t>Preguntas guía</w:t>
      </w:r>
    </w:p>
    <w:p>
      <w:pPr>
        <w:pStyle w:val="ListBullet"/>
      </w:pPr>
      <w:r>
        <w:rPr>
          <w:b w:val="0"/>
          <w:i w:val="0"/>
        </w:rPr>
        <w:t>¿Qué datos necesitas y quién te los da?</w:t>
      </w:r>
    </w:p>
    <w:p>
      <w:pPr>
        <w:pStyle w:val="ListBullet"/>
      </w:pPr>
      <w:r>
        <w:rPr>
          <w:b w:val="0"/>
          <w:i w:val="0"/>
        </w:rPr>
        <w:t>¿Dónde vive el código y dónde se publica el mapa? ¿Cuánto cuesta?</w:t>
      </w:r>
    </w:p>
    <w:p>
      <w:pPr>
        <w:pStyle w:val="ListBullet"/>
      </w:pPr>
      <w:r>
        <w:rPr>
          <w:b w:val="0"/>
          <w:i w:val="0"/>
        </w:rPr>
        <w:t>¿Qué conocimiento tienes tú y qué te falta?</w:t>
      </w:r>
    </w:p>
    <w:p>
      <w:pPr>
        <w:pStyle w:val="ListBullet"/>
      </w:pPr>
      <w:r>
        <w:rPr>
          <w:b w:val="0"/>
          <w:i w:val="0"/>
        </w:rPr>
        <w:t>¿Qué relación necesitas para tener datos por comuna?</w:t>
      </w:r>
    </w:p>
    <w:p>
      <w:pPr>
        <w:keepNext/>
        <w:spacing w:before="120"/>
      </w:pPr>
      <w:r>
        <w:rPr>
          <w:b/>
          <w:i w:val="0"/>
        </w:rPr>
        <w:t>Datos útiles (con fuente)</w:t>
      </w:r>
    </w:p>
    <w:p>
      <w:pPr>
        <w:pStyle w:val="ListBullet"/>
      </w:pPr>
      <w:r>
        <w:rPr>
          <w:b w:val="0"/>
          <w:i w:val="0"/>
        </w:rPr>
        <w:t>NASA POWER ofrece datos climáticos gratuitos [T2 §5].</w:t>
      </w:r>
    </w:p>
    <w:p>
      <w:pPr>
        <w:pStyle w:val="ListBullet"/>
      </w:pPr>
      <w:r>
        <w:rPr>
          <w:b w:val="0"/>
          <w:i w:val="0"/>
        </w:rPr>
        <w:t xml:space="preserve">GitHub Free: repositorios públicos ilimitados y </w:t>
      </w:r>
      <w:r>
        <w:rPr>
          <w:b/>
          <w:i w:val="0"/>
        </w:rPr>
        <w:t>2.000 minutos/mes</w:t>
      </w:r>
      <w:r>
        <w:rPr>
          <w:b w:val="0"/>
          <w:i w:val="0"/>
        </w:rPr>
        <w:t xml:space="preserve"> de Actions [T2 §9.1].</w:t>
      </w:r>
    </w:p>
    <w:p>
      <w:pPr>
        <w:pStyle w:val="ListBullet"/>
      </w:pPr>
      <w:r>
        <w:rPr>
          <w:b w:val="0"/>
          <w:i w:val="0"/>
        </w:rPr>
        <w:t xml:space="preserve">Streamlit Community Cloud: gratis, solo apps públicas, hasta </w:t>
      </w:r>
      <w:r>
        <w:rPr>
          <w:b/>
          <w:i w:val="0"/>
        </w:rPr>
        <w:t>2,7 GB</w:t>
      </w:r>
      <w:r>
        <w:rPr>
          <w:b w:val="0"/>
          <w:i w:val="0"/>
        </w:rPr>
        <w:t xml:space="preserve"> de memoria; la app "se duerme" tras </w:t>
      </w:r>
      <w:r>
        <w:rPr>
          <w:b/>
          <w:i w:val="0"/>
        </w:rPr>
        <w:t>12 horas</w:t>
      </w:r>
      <w:r>
        <w:rPr>
          <w:b w:val="0"/>
          <w:i w:val="0"/>
        </w:rPr>
        <w:t xml:space="preserve"> sin tráfico [T2 §5].</w:t>
      </w:r>
    </w:p>
    <w:p>
      <w:pPr>
        <w:pStyle w:val="ListBullet"/>
      </w:pPr>
      <w:r>
        <w:rPr>
          <w:b w:val="0"/>
          <w:i w:val="0"/>
        </w:rPr>
        <w:t xml:space="preserve">Azure for Students (opcional): </w:t>
      </w:r>
      <w:r>
        <w:rPr>
          <w:b/>
          <w:i w:val="0"/>
        </w:rPr>
        <w:t>USD 100</w:t>
      </w:r>
      <w:r>
        <w:rPr>
          <w:b w:val="0"/>
          <w:i w:val="0"/>
        </w:rPr>
        <w:t xml:space="preserve"> de crédito por </w:t>
      </w:r>
      <w:r>
        <w:rPr>
          <w:b/>
          <w:i w:val="0"/>
        </w:rPr>
        <w:t>12 meses</w:t>
      </w:r>
      <w:r>
        <w:rPr>
          <w:b w:val="0"/>
          <w:i w:val="0"/>
        </w:rPr>
        <w:t>, sin tarjeta [T2 §5].</w:t>
      </w:r>
    </w:p>
    <w:p>
      <w:pPr>
        <w:pStyle w:val="ListBullet"/>
      </w:pPr>
      <w:r>
        <w:rPr>
          <w:b w:val="0"/>
          <w:i w:val="0"/>
        </w:rPr>
        <w:t xml:space="preserve">Casos por comuna: probablemente requieren datos de la secretaría (convenio) </w:t>
      </w:r>
      <w:r>
        <w:rPr>
          <w:b/>
          <w:i w:val="0"/>
        </w:rPr>
        <w:t>[supuesto, riesgo a confirmar]</w:t>
      </w:r>
      <w:r>
        <w:rPr>
          <w:b w:val="0"/>
          <w:i w:val="0"/>
        </w:rPr>
        <w:t xml:space="preserve"> [T2 §5, §11].</w:t>
      </w:r>
    </w:p>
    <w:p>
      <w:pPr>
        <w:pStyle w:val="ListBullet"/>
      </w:pPr>
      <w:r>
        <w:rPr>
          <w:b w:val="0"/>
          <w:i w:val="0"/>
        </w:rPr>
        <w:t xml:space="preserve">Recurso humano: </w:t>
      </w:r>
      <w:r>
        <w:rPr>
          <w:b/>
          <w:i w:val="0"/>
        </w:rPr>
        <w:t>1 persona</w:t>
      </w:r>
      <w:r>
        <w:rPr>
          <w:b w:val="0"/>
          <w:i w:val="0"/>
        </w:rPr>
        <w:t xml:space="preserve"> (el autor), con acompañamiento del director de proyecto de la UCC y de Tecnoparque [T2 §5].</w:t>
      </w:r>
    </w:p>
    <w:p>
      <w:pPr>
        <w:keepNext/>
        <w:spacing w:before="120"/>
      </w:pPr>
      <w:r>
        <w:rPr>
          <w:b/>
          <w:i w:val="0"/>
        </w:rPr>
        <w:t>Errores comunes</w:t>
      </w:r>
    </w:p>
    <w:p>
      <w:pPr>
        <w:pStyle w:val="ListBullet"/>
      </w:pPr>
      <w:r>
        <w:rPr>
          <w:b w:val="0"/>
          <w:i w:val="0"/>
        </w:rPr>
        <w:t>Olvidar el recurso más crítico: los datos de casos por comuna.</w:t>
      </w:r>
    </w:p>
    <w:p>
      <w:pPr>
        <w:pStyle w:val="ListBullet"/>
      </w:pPr>
      <w:r>
        <w:rPr>
          <w:b w:val="0"/>
          <w:i w:val="0"/>
        </w:rPr>
        <w:t>Poner "computador" y "internet" como recursos clave (no diferencian).</w:t>
      </w:r>
    </w:p>
    <w:p>
      <w:pPr>
        <w:pStyle w:val="ListBullet"/>
      </w:pPr>
      <w:r>
        <w:rPr>
          <w:b w:val="0"/>
          <w:i w:val="0"/>
        </w:rPr>
        <w:t>Confundir recursos (lo que tienes) con actividades (lo que haces).</w:t>
      </w:r>
    </w:p>
    <w:p>
      <w:pPr>
        <w:keepNext/>
        <w:spacing w:before="120"/>
      </w:pPr>
      <w:r>
        <w:rPr>
          <w:b/>
          <w:i w:val="0"/>
        </w:rPr>
        <w:t>Propuesta de referencia (ES)</w:t>
      </w:r>
    </w:p>
    <w:p>
      <w:pPr>
        <w:pStyle w:val="ListBullet"/>
      </w:pPr>
      <w:r>
        <w:rPr>
          <w:b/>
          <w:i w:val="0"/>
        </w:rPr>
        <w:t>Datos:</w:t>
      </w:r>
      <w:r>
        <w:rPr>
          <w:b w:val="0"/>
          <w:i w:val="0"/>
        </w:rPr>
        <w:t xml:space="preserve"> casos de dengue (SIVIGILA o secretaría, agregados por comuna) y clima diario de NASA POWER.</w:t>
      </w:r>
    </w:p>
    <w:p>
      <w:pPr>
        <w:pStyle w:val="ListBullet"/>
      </w:pPr>
      <w:r>
        <w:rPr>
          <w:b/>
          <w:i w:val="0"/>
        </w:rPr>
        <w:t>Intelectuales:</w:t>
      </w:r>
      <w:r>
        <w:rPr>
          <w:b w:val="0"/>
          <w:i w:val="0"/>
        </w:rPr>
        <w:t xml:space="preserve"> modelos (Random Forest/XGBoost y SARIMA), código libre y documentación en GitHub.</w:t>
      </w:r>
    </w:p>
    <w:p>
      <w:pPr>
        <w:pStyle w:val="ListBullet"/>
      </w:pPr>
      <w:r>
        <w:rPr>
          <w:b/>
          <w:i w:val="0"/>
        </w:rPr>
        <w:t>Tecnológicos:</w:t>
      </w:r>
      <w:r>
        <w:rPr>
          <w:b w:val="0"/>
          <w:i w:val="0"/>
        </w:rPr>
        <w:t xml:space="preserve"> mapa en Streamlit Community Cloud (gratis); crédito opcional de Azure for Students.</w:t>
      </w:r>
    </w:p>
    <w:p>
      <w:pPr>
        <w:pStyle w:val="ListBullet"/>
      </w:pPr>
      <w:r>
        <w:rPr>
          <w:b/>
          <w:i w:val="0"/>
        </w:rPr>
        <w:t>Humanos:</w:t>
      </w:r>
      <w:r>
        <w:rPr>
          <w:b w:val="0"/>
          <w:i w:val="0"/>
        </w:rPr>
        <w:t xml:space="preserve"> el autor (datos, aprendizaje automático y despliegue); director de proyecto de la UCC; apoyo técnico de Tecnoparque.</w:t>
      </w:r>
    </w:p>
    <w:p>
      <w:pPr>
        <w:pStyle w:val="ListBullet"/>
      </w:pPr>
      <w:r>
        <w:rPr>
          <w:b/>
          <w:i w:val="0"/>
        </w:rPr>
        <w:t>Relacionales:</w:t>
      </w:r>
      <w:r>
        <w:rPr>
          <w:b w:val="0"/>
          <w:i w:val="0"/>
        </w:rPr>
        <w:t xml:space="preserve"> confianza con los técnicos de vectores de cada secretaría (datos por comuna y validación).</w:t>
      </w:r>
    </w:p>
    <w:p>
      <w:pPr>
        <w:keepNext/>
        <w:spacing w:before="160"/>
      </w:pPr>
      <w:r>
        <w:rPr>
          <w:b/>
          <w:i w:val="0"/>
        </w:rPr>
        <w:t>Texto corto para pegar — Versión corta para la plantilla (ES, 32 palabras)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12" w:color="000000"/>
          <w:left w:val="single" w:sz="12" w:color="000000"/>
          <w:bottom w:val="single" w:sz="12" w:color="000000"/>
          <w:right w:val="single" w:sz="12" w:color="000000"/>
          <w:insideH w:val="single" w:sz="12" w:color="000000"/>
          <w:insideV w:val="single" w:sz="12" w:color="000000"/>
        </w:tblBorders>
      </w:tblPr>
      <w:tblGrid>
        <w:gridCol w:w="9360"/>
      </w:tblGrid>
      <w:tr>
        <w:tc>
          <w:tcPr>
            <w:tcW w:type="dxa" w:w="9360"/>
          </w:tcPr>
          <w:p>
            <w:pPr>
              <w:keepNext/>
              <w:spacing w:line="276" w:lineRule="auto" w:after="40"/>
              <w:ind w:left="283" w:hanging="227"/>
            </w:pPr>
            <w:r/>
            <w:r>
              <w:rPr>
                <w:b w:val="0"/>
                <w:i w:val="0"/>
                <w:sz w:val="22"/>
              </w:rPr>
              <w:t>• Datos: casos SIVIGILA + clima NASA POWER</w:t>
            </w:r>
          </w:p>
          <w:p>
            <w:pPr>
              <w:keepNext/>
              <w:spacing w:line="276" w:lineRule="auto" w:after="40"/>
              <w:ind w:left="283" w:hanging="227"/>
            </w:pPr>
            <w:r>
              <w:rPr>
                <w:b w:val="0"/>
                <w:i w:val="0"/>
                <w:sz w:val="22"/>
              </w:rPr>
              <w:t>• Modelos y código libre en GitHub</w:t>
            </w:r>
          </w:p>
          <w:p>
            <w:pPr>
              <w:keepNext/>
              <w:spacing w:line="276" w:lineRule="auto" w:after="40"/>
              <w:ind w:left="283" w:hanging="227"/>
            </w:pPr>
            <w:r>
              <w:rPr>
                <w:b w:val="0"/>
                <w:i w:val="0"/>
                <w:sz w:val="22"/>
              </w:rPr>
              <w:t>• Mapa en Streamlit (gratis)</w:t>
            </w:r>
          </w:p>
          <w:p>
            <w:pPr>
              <w:keepNext/>
              <w:spacing w:line="276" w:lineRule="auto" w:after="40"/>
              <w:ind w:left="283" w:hanging="227"/>
            </w:pPr>
            <w:r>
              <w:rPr>
                <w:b w:val="0"/>
                <w:i w:val="0"/>
                <w:sz w:val="22"/>
              </w:rPr>
              <w:t>• Autor: datos, IA y despliegue</w:t>
            </w:r>
          </w:p>
          <w:p>
            <w:pPr>
              <w:keepNext/>
              <w:spacing w:line="276" w:lineRule="auto" w:after="40"/>
              <w:ind w:left="283" w:hanging="227"/>
            </w:pPr>
            <w:r>
              <w:rPr>
                <w:b w:val="0"/>
                <w:i w:val="0"/>
                <w:sz w:val="22"/>
              </w:rPr>
              <w:t>• Director UCC y Tecnoparque</w:t>
            </w:r>
          </w:p>
          <w:p>
            <w:pPr>
              <w:keepNext/>
              <w:spacing w:line="276" w:lineRule="auto" w:after="40"/>
              <w:ind w:left="283" w:hanging="227"/>
            </w:pPr>
            <w:r>
              <w:rPr>
                <w:b w:val="0"/>
                <w:i w:val="0"/>
                <w:sz w:val="22"/>
              </w:rPr>
              <w:t>• Relación con técnicos de cada secretaría</w:t>
            </w:r>
          </w:p>
        </w:tc>
      </w:tr>
    </w:tbl>
    <w:p>
      <w:pPr>
        <w:spacing w:after="0"/>
      </w:pPr>
    </w:p>
    <w:p>
      <w:pPr>
        <w:keepNext/>
        <w:spacing w:before="120"/>
      </w:pPr>
      <w:r>
        <w:rPr>
          <w:b/>
          <w:i w:val="0"/>
        </w:rPr>
        <w:t>Reference proposal (EN)</w:t>
      </w:r>
    </w:p>
    <w:p>
      <w:pPr>
        <w:pStyle w:val="ListBullet"/>
      </w:pPr>
      <w:r>
        <w:rPr>
          <w:b/>
          <w:i w:val="0"/>
        </w:rPr>
        <w:t>Data:</w:t>
      </w:r>
      <w:r>
        <w:rPr>
          <w:b w:val="0"/>
          <w:i w:val="0"/>
        </w:rPr>
        <w:t xml:space="preserve"> dengue cases (SIVIGILA or the secretariat, aggregated by comuna) and daily weather from NASA POWER.</w:t>
      </w:r>
    </w:p>
    <w:p>
      <w:pPr>
        <w:pStyle w:val="ListBullet"/>
      </w:pPr>
      <w:r>
        <w:rPr>
          <w:b/>
          <w:i w:val="0"/>
        </w:rPr>
        <w:t>Intellectual:</w:t>
      </w:r>
      <w:r>
        <w:rPr>
          <w:b w:val="0"/>
          <w:i w:val="0"/>
        </w:rPr>
        <w:t xml:space="preserve"> models (Random Forest/XGBoost and SARIMA), open-source code and documentation on GitHub.</w:t>
      </w:r>
    </w:p>
    <w:p>
      <w:pPr>
        <w:pStyle w:val="ListBullet"/>
      </w:pPr>
      <w:r>
        <w:rPr>
          <w:b/>
          <w:i w:val="0"/>
        </w:rPr>
        <w:t>Technology:</w:t>
      </w:r>
      <w:r>
        <w:rPr>
          <w:b w:val="0"/>
          <w:i w:val="0"/>
        </w:rPr>
        <w:t xml:space="preserve"> web map on Streamlit Community Cloud (free); optional Azure for Students credit.</w:t>
      </w:r>
    </w:p>
    <w:p>
      <w:pPr>
        <w:pStyle w:val="ListBullet"/>
      </w:pPr>
      <w:r>
        <w:rPr>
          <w:b/>
          <w:i w:val="0"/>
        </w:rPr>
        <w:t>People:</w:t>
      </w:r>
      <w:r>
        <w:rPr>
          <w:b w:val="0"/>
          <w:i w:val="0"/>
        </w:rPr>
        <w:t xml:space="preserve"> the author (data, machine learning and deployment); the UCC thesis advisor; technical support from Tecnoparque.</w:t>
      </w:r>
    </w:p>
    <w:p>
      <w:pPr>
        <w:pStyle w:val="ListBullet"/>
      </w:pPr>
      <w:r>
        <w:rPr>
          <w:b/>
          <w:i w:val="0"/>
        </w:rPr>
        <w:t>Relationships:</w:t>
      </w:r>
      <w:r>
        <w:rPr>
          <w:b w:val="0"/>
          <w:i w:val="0"/>
        </w:rPr>
        <w:t xml:space="preserve"> trust with each secretariat's vector-control staff (comuna-level data and validation).</w:t>
      </w:r>
    </w:p>
    <w:p>
      <w:pPr>
        <w:keepNext/>
        <w:spacing w:before="160"/>
      </w:pPr>
      <w:r>
        <w:rPr>
          <w:b/>
          <w:i w:val="0"/>
        </w:rPr>
        <w:t>Short version (EN) — for the slide — Short version for the template (EN, 32 words)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12" w:color="000000"/>
          <w:left w:val="single" w:sz="12" w:color="000000"/>
          <w:bottom w:val="single" w:sz="12" w:color="000000"/>
          <w:right w:val="single" w:sz="12" w:color="000000"/>
          <w:insideH w:val="single" w:sz="12" w:color="000000"/>
          <w:insideV w:val="single" w:sz="12" w:color="000000"/>
        </w:tblBorders>
      </w:tblPr>
      <w:tblGrid>
        <w:gridCol w:w="9360"/>
      </w:tblGrid>
      <w:tr>
        <w:tc>
          <w:tcPr>
            <w:tcW w:type="dxa" w:w="9360"/>
          </w:tcPr>
          <w:p>
            <w:pPr>
              <w:keepNext/>
              <w:spacing w:line="276" w:lineRule="auto" w:after="40"/>
              <w:ind w:left="283" w:hanging="227"/>
            </w:pPr>
            <w:r/>
            <w:r>
              <w:rPr>
                <w:b w:val="0"/>
                <w:i w:val="0"/>
                <w:sz w:val="22"/>
              </w:rPr>
              <w:t>• Data: SIVIGILA cases + NASA POWER weather</w:t>
            </w:r>
          </w:p>
          <w:p>
            <w:pPr>
              <w:keepNext/>
              <w:spacing w:line="276" w:lineRule="auto" w:after="40"/>
              <w:ind w:left="283" w:hanging="227"/>
            </w:pPr>
            <w:r>
              <w:rPr>
                <w:b w:val="0"/>
                <w:i w:val="0"/>
                <w:sz w:val="22"/>
              </w:rPr>
              <w:t>• Models and open-source code on GitHub</w:t>
            </w:r>
          </w:p>
          <w:p>
            <w:pPr>
              <w:keepNext/>
              <w:spacing w:line="276" w:lineRule="auto" w:after="40"/>
              <w:ind w:left="283" w:hanging="227"/>
            </w:pPr>
            <w:r>
              <w:rPr>
                <w:b w:val="0"/>
                <w:i w:val="0"/>
                <w:sz w:val="22"/>
              </w:rPr>
              <w:t>• Web map on Streamlit (free)</w:t>
            </w:r>
          </w:p>
          <w:p>
            <w:pPr>
              <w:keepNext/>
              <w:spacing w:line="276" w:lineRule="auto" w:after="40"/>
              <w:ind w:left="283" w:hanging="227"/>
            </w:pPr>
            <w:r>
              <w:rPr>
                <w:b w:val="0"/>
                <w:i w:val="0"/>
                <w:sz w:val="22"/>
              </w:rPr>
              <w:t>• Author: data, AI, deployment</w:t>
            </w:r>
          </w:p>
          <w:p>
            <w:pPr>
              <w:keepNext/>
              <w:spacing w:line="276" w:lineRule="auto" w:after="40"/>
              <w:ind w:left="283" w:hanging="227"/>
            </w:pPr>
            <w:r>
              <w:rPr>
                <w:b w:val="0"/>
                <w:i w:val="0"/>
                <w:sz w:val="22"/>
              </w:rPr>
              <w:t>• UCC advisor and Tecnoparque</w:t>
            </w:r>
          </w:p>
          <w:p>
            <w:pPr>
              <w:keepNext/>
              <w:spacing w:line="276" w:lineRule="auto" w:after="40"/>
              <w:ind w:left="283" w:hanging="227"/>
            </w:pPr>
            <w:r>
              <w:rPr>
                <w:b w:val="0"/>
                <w:i w:val="0"/>
                <w:sz w:val="22"/>
              </w:rPr>
              <w:t>• Trust with each secretariat's technical staff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7. Actividades clave — Bloque 2 (7.° en la pauta)</w:t>
      </w:r>
    </w:p>
    <w:p>
      <w:r>
        <w:rPr>
          <w:b/>
          <w:i w:val="0"/>
        </w:rPr>
        <w:t>Qué pide el bloque.</w:t>
      </w:r>
      <w:r>
        <w:rPr>
          <w:b w:val="0"/>
          <w:i w:val="0"/>
        </w:rPr>
        <w:t xml:space="preserve"> Lo que debes </w:t>
      </w:r>
      <w:r>
        <w:rPr>
          <w:b/>
          <w:i w:val="0"/>
        </w:rPr>
        <w:t>hacer</w:t>
      </w:r>
      <w:r>
        <w:rPr>
          <w:b w:val="0"/>
          <w:i w:val="0"/>
        </w:rPr>
        <w:t xml:space="preserve"> bien para entregar la propuesta de valor: producir, resolver problemas, mantener la plataforma y vender.</w:t>
      </w:r>
    </w:p>
    <w:p>
      <w:pPr>
        <w:keepNext/>
        <w:spacing w:before="120"/>
      </w:pPr>
      <w:r>
        <w:rPr>
          <w:b/>
          <w:i w:val="0"/>
        </w:rPr>
        <w:t>Preguntas guía</w:t>
      </w:r>
    </w:p>
    <w:p>
      <w:pPr>
        <w:pStyle w:val="ListBullet"/>
      </w:pPr>
      <w:r>
        <w:rPr>
          <w:b w:val="0"/>
          <w:i w:val="0"/>
        </w:rPr>
        <w:t>¿Qué haces cada semana para que el mapa esté al día?</w:t>
      </w:r>
    </w:p>
    <w:p>
      <w:pPr>
        <w:pStyle w:val="ListBullet"/>
      </w:pPr>
      <w:r>
        <w:rPr>
          <w:b w:val="0"/>
          <w:i w:val="0"/>
        </w:rPr>
        <w:t>¿Cómo sabes que el modelo funciona antes de mostrarlo?</w:t>
      </w:r>
    </w:p>
    <w:p>
      <w:pPr>
        <w:pStyle w:val="ListBullet"/>
      </w:pPr>
      <w:r>
        <w:rPr>
          <w:b w:val="0"/>
          <w:i w:val="0"/>
        </w:rPr>
        <w:t>¿Qué haces para replicarlo en otro municipio?</w:t>
      </w:r>
    </w:p>
    <w:p>
      <w:pPr>
        <w:pStyle w:val="ListBullet"/>
      </w:pPr>
      <w:r>
        <w:rPr>
          <w:b w:val="0"/>
          <w:i w:val="0"/>
        </w:rPr>
        <w:t>¿Qué actividad comercial necesitas para venderle al Estado?</w:t>
      </w:r>
    </w:p>
    <w:p>
      <w:pPr>
        <w:pStyle w:val="ListBullet"/>
      </w:pPr>
      <w:r>
        <w:rPr>
          <w:b w:val="0"/>
          <w:i w:val="0"/>
        </w:rPr>
        <w:t>¿Qué haces para cuidar los datos de salud?</w:t>
      </w:r>
    </w:p>
    <w:p>
      <w:pPr>
        <w:keepNext/>
        <w:spacing w:before="120"/>
      </w:pPr>
      <w:r>
        <w:rPr>
          <w:b/>
          <w:i w:val="0"/>
        </w:rPr>
        <w:t>Datos útiles (con fuente)</w:t>
      </w:r>
    </w:p>
    <w:p>
      <w:pPr>
        <w:pStyle w:val="ListBullet"/>
      </w:pPr>
      <w:r>
        <w:rPr>
          <w:b w:val="0"/>
          <w:i w:val="0"/>
        </w:rPr>
        <w:t xml:space="preserve">Clima rezagado de </w:t>
      </w:r>
      <w:r>
        <w:rPr>
          <w:b/>
          <w:i w:val="0"/>
        </w:rPr>
        <w:t>2 a 5 semanas</w:t>
      </w:r>
      <w:r>
        <w:rPr>
          <w:b w:val="0"/>
          <w:i w:val="0"/>
        </w:rPr>
        <w:t xml:space="preserve"> mejora la predicción por barrio en Cali (Desjardins et al., 2020) [PREV-T2 F1].</w:t>
      </w:r>
    </w:p>
    <w:p>
      <w:pPr>
        <w:pStyle w:val="ListBullet"/>
      </w:pPr>
      <w:r>
        <w:rPr>
          <w:b w:val="0"/>
          <w:i w:val="0"/>
        </w:rPr>
        <w:t xml:space="preserve">Los datos de salud son </w:t>
      </w:r>
      <w:r>
        <w:rPr>
          <w:b/>
          <w:i w:val="0"/>
        </w:rPr>
        <w:t>datos sensibles</w:t>
      </w:r>
      <w:r>
        <w:rPr>
          <w:b w:val="0"/>
          <w:i w:val="0"/>
        </w:rPr>
        <w:t xml:space="preserve"> (Ley 1581 de 2012, art. 5) y su uso estadístico exige suprimir la identidad de los titulares (art. 6, lit. e) [T1 §3.4].</w:t>
      </w:r>
    </w:p>
    <w:p>
      <w:pPr>
        <w:pStyle w:val="ListBullet"/>
      </w:pPr>
      <w:r>
        <w:rPr>
          <w:b w:val="0"/>
          <w:i w:val="0"/>
        </w:rPr>
        <w:t>DengueIA validó con la Secretaría de Cali [T2 §6].</w:t>
      </w:r>
    </w:p>
    <w:p>
      <w:pPr>
        <w:keepNext/>
        <w:spacing w:before="120"/>
      </w:pPr>
      <w:r>
        <w:rPr>
          <w:b/>
          <w:i w:val="0"/>
        </w:rPr>
        <w:t>Errores comunes</w:t>
      </w:r>
    </w:p>
    <w:p>
      <w:pPr>
        <w:pStyle w:val="ListBullet"/>
      </w:pPr>
      <w:r>
        <w:rPr>
          <w:b w:val="0"/>
          <w:i w:val="0"/>
        </w:rPr>
        <w:t>Escribir solo actividades técnicas y olvidar la comercial y la de capacitación.</w:t>
      </w:r>
    </w:p>
    <w:p>
      <w:pPr>
        <w:pStyle w:val="ListBullet"/>
      </w:pPr>
      <w:r>
        <w:rPr>
          <w:b w:val="0"/>
          <w:i w:val="0"/>
        </w:rPr>
        <w:t>Escribir recursos ("tener datos") en vez de actividades ("limpiar datos cada semana").</w:t>
      </w:r>
    </w:p>
    <w:p>
      <w:pPr>
        <w:pStyle w:val="ListBullet"/>
      </w:pPr>
      <w:r>
        <w:rPr>
          <w:b w:val="0"/>
          <w:i w:val="0"/>
        </w:rPr>
        <w:t>Olvidar la gobernanza de datos.</w:t>
      </w:r>
    </w:p>
    <w:p>
      <w:pPr>
        <w:keepNext/>
        <w:spacing w:before="120"/>
      </w:pPr>
      <w:r>
        <w:rPr>
          <w:b/>
          <w:i w:val="0"/>
        </w:rPr>
        <w:t>Propuesta de referencia (ES)</w:t>
      </w:r>
    </w:p>
    <w:p>
      <w:pPr>
        <w:ind w:left="454" w:hanging="340"/>
      </w:pPr>
      <w:r>
        <w:rPr>
          <w:b w:val="0"/>
          <w:i w:val="0"/>
        </w:rPr>
        <w:t>1.  Ingesta y limpieza semanal de casos y clima, agregados por comuna y semana epidemiológica.</w:t>
      </w:r>
    </w:p>
    <w:p>
      <w:pPr>
        <w:ind w:left="454" w:hanging="340"/>
      </w:pPr>
      <w:r>
        <w:rPr>
          <w:b w:val="0"/>
          <w:i w:val="0"/>
        </w:rPr>
        <w:t>2.  Entrenamiento y comparación de modelos (Random Forest/XGBoost frente a SARIMA) con clima rezagado.</w:t>
      </w:r>
    </w:p>
    <w:p>
      <w:pPr>
        <w:ind w:left="454" w:hanging="340"/>
      </w:pPr>
      <w:r>
        <w:rPr>
          <w:b w:val="0"/>
          <w:i w:val="0"/>
        </w:rPr>
        <w:t>3.  Publicación del mapa semáforo y del reporte semanal.</w:t>
      </w:r>
    </w:p>
    <w:p>
      <w:pPr>
        <w:ind w:left="454" w:hanging="340"/>
      </w:pPr>
      <w:r>
        <w:rPr>
          <w:b w:val="0"/>
          <w:i w:val="0"/>
        </w:rPr>
        <w:t>4.  Validación con la secretaría.</w:t>
      </w:r>
    </w:p>
    <w:p>
      <w:pPr>
        <w:ind w:left="454" w:hanging="340"/>
      </w:pPr>
      <w:r>
        <w:rPr>
          <w:b w:val="0"/>
          <w:i w:val="0"/>
        </w:rPr>
        <w:t>5.  Réplica a otro municipio (ajustar comunas y corregimientos).</w:t>
      </w:r>
    </w:p>
    <w:p>
      <w:pPr>
        <w:ind w:left="454" w:hanging="340"/>
      </w:pPr>
      <w:r>
        <w:rPr>
          <w:b w:val="0"/>
          <w:i w:val="0"/>
        </w:rPr>
        <w:t>6.  Documentación y capacitación.</w:t>
      </w:r>
    </w:p>
    <w:p>
      <w:pPr>
        <w:ind w:left="454" w:hanging="340"/>
      </w:pPr>
      <w:r>
        <w:rPr>
          <w:b w:val="0"/>
          <w:i w:val="0"/>
        </w:rPr>
        <w:t>7.  Gestión comercial pública: registro en SECOP II, propuestas por vigencia, presentación en el COVE.</w:t>
      </w:r>
    </w:p>
    <w:p>
      <w:pPr>
        <w:ind w:left="454" w:hanging="340"/>
      </w:pPr>
      <w:r>
        <w:rPr>
          <w:b w:val="0"/>
          <w:i w:val="0"/>
        </w:rPr>
        <w:t>8.  Gobernanza de datos: solo datos agregados y anonimizados.</w:t>
      </w:r>
    </w:p>
    <w:p>
      <w:pPr>
        <w:keepNext/>
        <w:spacing w:before="160"/>
      </w:pPr>
      <w:r>
        <w:rPr>
          <w:b/>
          <w:i w:val="0"/>
        </w:rPr>
        <w:t>Texto corto para pegar — Versión corta para la plantilla (ES, 34 palabras)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12" w:color="000000"/>
          <w:left w:val="single" w:sz="12" w:color="000000"/>
          <w:bottom w:val="single" w:sz="12" w:color="000000"/>
          <w:right w:val="single" w:sz="12" w:color="000000"/>
          <w:insideH w:val="single" w:sz="12" w:color="000000"/>
          <w:insideV w:val="single" w:sz="12" w:color="000000"/>
        </w:tblBorders>
      </w:tblPr>
      <w:tblGrid>
        <w:gridCol w:w="9360"/>
      </w:tblGrid>
      <w:tr>
        <w:tc>
          <w:tcPr>
            <w:tcW w:type="dxa" w:w="9360"/>
          </w:tcPr>
          <w:p>
            <w:pPr>
              <w:keepNext/>
              <w:spacing w:line="276" w:lineRule="auto" w:after="40"/>
              <w:ind w:left="283" w:hanging="227"/>
            </w:pPr>
            <w:r/>
            <w:r>
              <w:rPr>
                <w:b w:val="0"/>
                <w:i w:val="0"/>
                <w:sz w:val="22"/>
              </w:rPr>
              <w:t>• Limpiar datos cada semana</w:t>
            </w:r>
          </w:p>
          <w:p>
            <w:pPr>
              <w:keepNext/>
              <w:spacing w:line="276" w:lineRule="auto" w:after="40"/>
              <w:ind w:left="283" w:hanging="227"/>
            </w:pPr>
            <w:r>
              <w:rPr>
                <w:b w:val="0"/>
                <w:i w:val="0"/>
                <w:sz w:val="22"/>
              </w:rPr>
              <w:t>• Entrenar y comparar modelos (RF/XGBoost vs SARIMA)</w:t>
            </w:r>
          </w:p>
          <w:p>
            <w:pPr>
              <w:keepNext/>
              <w:spacing w:line="276" w:lineRule="auto" w:after="40"/>
              <w:ind w:left="283" w:hanging="227"/>
            </w:pPr>
            <w:r>
              <w:rPr>
                <w:b w:val="0"/>
                <w:i w:val="0"/>
                <w:sz w:val="22"/>
              </w:rPr>
              <w:t>• Publicar mapa y reporte semanal</w:t>
            </w:r>
          </w:p>
          <w:p>
            <w:pPr>
              <w:keepNext/>
              <w:spacing w:line="276" w:lineRule="auto" w:after="40"/>
              <w:ind w:left="283" w:hanging="227"/>
            </w:pPr>
            <w:r>
              <w:rPr>
                <w:b w:val="0"/>
                <w:i w:val="0"/>
                <w:sz w:val="22"/>
              </w:rPr>
              <w:t>• Validar con la secretaría</w:t>
            </w:r>
          </w:p>
          <w:p>
            <w:pPr>
              <w:keepNext/>
              <w:spacing w:line="276" w:lineRule="auto" w:after="40"/>
              <w:ind w:left="283" w:hanging="227"/>
            </w:pPr>
            <w:r>
              <w:rPr>
                <w:b w:val="0"/>
                <w:i w:val="0"/>
                <w:sz w:val="22"/>
              </w:rPr>
              <w:t>• Replicar por municipio</w:t>
            </w:r>
          </w:p>
          <w:p>
            <w:pPr>
              <w:keepNext/>
              <w:spacing w:line="276" w:lineRule="auto" w:after="40"/>
              <w:ind w:left="283" w:hanging="227"/>
            </w:pPr>
            <w:r>
              <w:rPr>
                <w:b w:val="0"/>
                <w:i w:val="0"/>
                <w:sz w:val="22"/>
              </w:rPr>
              <w:t>• Documentar y capacitar</w:t>
            </w:r>
          </w:p>
          <w:p>
            <w:pPr>
              <w:keepNext/>
              <w:spacing w:line="276" w:lineRule="auto" w:after="40"/>
              <w:ind w:left="283" w:hanging="227"/>
            </w:pPr>
            <w:r>
              <w:rPr>
                <w:b w:val="0"/>
                <w:i w:val="0"/>
                <w:sz w:val="22"/>
              </w:rPr>
              <w:t>• Vender por SECOP II</w:t>
            </w:r>
          </w:p>
          <w:p>
            <w:pPr>
              <w:keepNext/>
              <w:spacing w:line="276" w:lineRule="auto" w:after="40"/>
              <w:ind w:left="283" w:hanging="227"/>
            </w:pPr>
            <w:r>
              <w:rPr>
                <w:b w:val="0"/>
                <w:i w:val="0"/>
                <w:sz w:val="22"/>
              </w:rPr>
              <w:t>• Anonimizar y agregar datos</w:t>
            </w:r>
          </w:p>
        </w:tc>
      </w:tr>
    </w:tbl>
    <w:p>
      <w:pPr>
        <w:spacing w:after="0"/>
      </w:pPr>
    </w:p>
    <w:p>
      <w:pPr>
        <w:keepNext/>
        <w:spacing w:before="120"/>
      </w:pPr>
      <w:r>
        <w:rPr>
          <w:b/>
          <w:i w:val="0"/>
        </w:rPr>
        <w:t>Reference proposal (EN)</w:t>
      </w:r>
    </w:p>
    <w:p>
      <w:pPr>
        <w:ind w:left="454" w:hanging="340"/>
      </w:pPr>
      <w:r>
        <w:rPr>
          <w:b w:val="0"/>
          <w:i w:val="0"/>
        </w:rPr>
        <w:t>1.  Weekly collection and cleaning of case and weather data, aggregated by comuna and epidemiological week.</w:t>
      </w:r>
    </w:p>
    <w:p>
      <w:pPr>
        <w:ind w:left="454" w:hanging="340"/>
      </w:pPr>
      <w:r>
        <w:rPr>
          <w:b w:val="0"/>
          <w:i w:val="0"/>
        </w:rPr>
        <w:t>2.  Training and comparing models (Random Forest/XGBoost versus SARIMA) with lagged weather.</w:t>
      </w:r>
    </w:p>
    <w:p>
      <w:pPr>
        <w:ind w:left="454" w:hanging="340"/>
      </w:pPr>
      <w:r>
        <w:rPr>
          <w:b w:val="0"/>
          <w:i w:val="0"/>
        </w:rPr>
        <w:t>3.  Publishing the traffic-light map and the weekly report.</w:t>
      </w:r>
    </w:p>
    <w:p>
      <w:pPr>
        <w:ind w:left="454" w:hanging="340"/>
      </w:pPr>
      <w:r>
        <w:rPr>
          <w:b w:val="0"/>
          <w:i w:val="0"/>
        </w:rPr>
        <w:t>4.  Validation with the health secretariat.</w:t>
      </w:r>
    </w:p>
    <w:p>
      <w:pPr>
        <w:ind w:left="454" w:hanging="340"/>
      </w:pPr>
      <w:r>
        <w:rPr>
          <w:b w:val="0"/>
          <w:i w:val="0"/>
        </w:rPr>
        <w:t>5.  Replication in another municipality (adjusting comunas and rural areas).</w:t>
      </w:r>
    </w:p>
    <w:p>
      <w:pPr>
        <w:ind w:left="454" w:hanging="340"/>
      </w:pPr>
      <w:r>
        <w:rPr>
          <w:b w:val="0"/>
          <w:i w:val="0"/>
        </w:rPr>
        <w:t>6.  Documentation and training.</w:t>
      </w:r>
    </w:p>
    <w:p>
      <w:pPr>
        <w:ind w:left="454" w:hanging="340"/>
      </w:pPr>
      <w:r>
        <w:rPr>
          <w:b w:val="0"/>
          <w:i w:val="0"/>
        </w:rPr>
        <w:t>7.  Public-sector sales: SECOP II registration, yearly proposals, a pitch at the COVE.</w:t>
      </w:r>
    </w:p>
    <w:p>
      <w:pPr>
        <w:ind w:left="454" w:hanging="340"/>
      </w:pPr>
      <w:r>
        <w:rPr>
          <w:b w:val="0"/>
          <w:i w:val="0"/>
        </w:rPr>
        <w:t>8.  Data governance: aggregated, anonymized data only.</w:t>
      </w:r>
    </w:p>
    <w:p>
      <w:pPr>
        <w:keepNext/>
        <w:spacing w:before="160"/>
      </w:pPr>
      <w:r>
        <w:rPr>
          <w:b/>
          <w:i w:val="0"/>
        </w:rPr>
        <w:t>Short version (EN) — for the slide — Short version for the template (EN, 34 words)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12" w:color="000000"/>
          <w:left w:val="single" w:sz="12" w:color="000000"/>
          <w:bottom w:val="single" w:sz="12" w:color="000000"/>
          <w:right w:val="single" w:sz="12" w:color="000000"/>
          <w:insideH w:val="single" w:sz="12" w:color="000000"/>
          <w:insideV w:val="single" w:sz="12" w:color="000000"/>
        </w:tblBorders>
      </w:tblPr>
      <w:tblGrid>
        <w:gridCol w:w="9360"/>
      </w:tblGrid>
      <w:tr>
        <w:tc>
          <w:tcPr>
            <w:tcW w:type="dxa" w:w="9360"/>
          </w:tcPr>
          <w:p>
            <w:pPr>
              <w:keepNext/>
              <w:spacing w:line="276" w:lineRule="auto" w:after="40"/>
              <w:ind w:left="283" w:hanging="227"/>
            </w:pPr>
            <w:r/>
            <w:r>
              <w:rPr>
                <w:b w:val="0"/>
                <w:i w:val="0"/>
                <w:sz w:val="22"/>
              </w:rPr>
              <w:t>• Clean data every week</w:t>
            </w:r>
          </w:p>
          <w:p>
            <w:pPr>
              <w:keepNext/>
              <w:spacing w:line="276" w:lineRule="auto" w:after="40"/>
              <w:ind w:left="283" w:hanging="227"/>
            </w:pPr>
            <w:r>
              <w:rPr>
                <w:b w:val="0"/>
                <w:i w:val="0"/>
                <w:sz w:val="22"/>
              </w:rPr>
              <w:t>• Train and compare models (RF/XGBoost vs SARIMA)</w:t>
            </w:r>
          </w:p>
          <w:p>
            <w:pPr>
              <w:keepNext/>
              <w:spacing w:line="276" w:lineRule="auto" w:after="40"/>
              <w:ind w:left="283" w:hanging="227"/>
            </w:pPr>
            <w:r>
              <w:rPr>
                <w:b w:val="0"/>
                <w:i w:val="0"/>
                <w:sz w:val="22"/>
              </w:rPr>
              <w:t>• Publish weekly map and report</w:t>
            </w:r>
          </w:p>
          <w:p>
            <w:pPr>
              <w:keepNext/>
              <w:spacing w:line="276" w:lineRule="auto" w:after="40"/>
              <w:ind w:left="283" w:hanging="227"/>
            </w:pPr>
            <w:r>
              <w:rPr>
                <w:b w:val="0"/>
                <w:i w:val="0"/>
                <w:sz w:val="22"/>
              </w:rPr>
              <w:t>• Validate with the secretariat</w:t>
            </w:r>
          </w:p>
          <w:p>
            <w:pPr>
              <w:keepNext/>
              <w:spacing w:line="276" w:lineRule="auto" w:after="40"/>
              <w:ind w:left="283" w:hanging="227"/>
            </w:pPr>
            <w:r>
              <w:rPr>
                <w:b w:val="0"/>
                <w:i w:val="0"/>
                <w:sz w:val="22"/>
              </w:rPr>
              <w:t>• Replicate per municipality</w:t>
            </w:r>
          </w:p>
          <w:p>
            <w:pPr>
              <w:keepNext/>
              <w:spacing w:line="276" w:lineRule="auto" w:after="40"/>
              <w:ind w:left="283" w:hanging="227"/>
            </w:pPr>
            <w:r>
              <w:rPr>
                <w:b w:val="0"/>
                <w:i w:val="0"/>
                <w:sz w:val="22"/>
              </w:rPr>
              <w:t>• Document and train</w:t>
            </w:r>
          </w:p>
          <w:p>
            <w:pPr>
              <w:keepNext/>
              <w:spacing w:line="276" w:lineRule="auto" w:after="40"/>
              <w:ind w:left="283" w:hanging="227"/>
            </w:pPr>
            <w:r>
              <w:rPr>
                <w:b w:val="0"/>
                <w:i w:val="0"/>
                <w:sz w:val="22"/>
              </w:rPr>
              <w:t>• Sell through SECOP II</w:t>
            </w:r>
          </w:p>
          <w:p>
            <w:pPr>
              <w:keepNext/>
              <w:spacing w:line="276" w:lineRule="auto" w:after="40"/>
              <w:ind w:left="283" w:hanging="227"/>
            </w:pPr>
            <w:r>
              <w:rPr>
                <w:b w:val="0"/>
                <w:i w:val="0"/>
                <w:sz w:val="22"/>
              </w:rPr>
              <w:t>• Anonymize and aggregate data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8. Socios clave — Bloque 1 (8.° en la pauta)</w:t>
      </w:r>
    </w:p>
    <w:p>
      <w:r>
        <w:rPr>
          <w:b/>
          <w:i w:val="0"/>
        </w:rPr>
        <w:t>Qué pide el bloque.</w:t>
      </w:r>
      <w:r>
        <w:rPr>
          <w:b w:val="0"/>
          <w:i w:val="0"/>
        </w:rPr>
        <w:t xml:space="preserve"> Quién te ayuda a operar, reducir riesgos o conseguir recursos que no tienes. Para cada socio: qué aporta.</w:t>
      </w:r>
    </w:p>
    <w:p>
      <w:pPr>
        <w:keepNext/>
        <w:spacing w:before="120"/>
      </w:pPr>
      <w:r>
        <w:rPr>
          <w:b/>
          <w:i w:val="0"/>
        </w:rPr>
        <w:t>Preguntas guía</w:t>
      </w:r>
    </w:p>
    <w:p>
      <w:pPr>
        <w:pStyle w:val="ListBullet"/>
      </w:pPr>
      <w:r>
        <w:rPr>
          <w:b w:val="0"/>
          <w:i w:val="0"/>
        </w:rPr>
        <w:t>¿Quién te da los datos que no son públicos?</w:t>
      </w:r>
    </w:p>
    <w:p>
      <w:pPr>
        <w:pStyle w:val="ListBullet"/>
      </w:pPr>
      <w:r>
        <w:rPr>
          <w:b w:val="0"/>
          <w:i w:val="0"/>
        </w:rPr>
        <w:t>¿Quién te da respaldo académico para entrar a convocatorias?</w:t>
      </w:r>
    </w:p>
    <w:p>
      <w:pPr>
        <w:pStyle w:val="ListBullet"/>
      </w:pPr>
      <w:r>
        <w:rPr>
          <w:b w:val="0"/>
          <w:i w:val="0"/>
        </w:rPr>
        <w:t>¿Quién te presta infraestructura gratis?</w:t>
      </w:r>
    </w:p>
    <w:p>
      <w:pPr>
        <w:pStyle w:val="ListBullet"/>
      </w:pPr>
      <w:r>
        <w:rPr>
          <w:b w:val="0"/>
          <w:i w:val="0"/>
        </w:rPr>
        <w:t>¿Quién ejecuta en terreno las acciones que el mapa ayuda a focalizar?</w:t>
      </w:r>
    </w:p>
    <w:p>
      <w:pPr>
        <w:pStyle w:val="ListBullet"/>
      </w:pPr>
      <w:r>
        <w:rPr>
          <w:b w:val="0"/>
          <w:i w:val="0"/>
        </w:rPr>
        <w:t>¿Con quién hay solo un posible intercambio y no un acuerdo?</w:t>
      </w:r>
    </w:p>
    <w:p>
      <w:pPr>
        <w:keepNext/>
        <w:spacing w:before="120"/>
      </w:pPr>
      <w:r>
        <w:rPr>
          <w:b/>
          <w:i w:val="0"/>
        </w:rPr>
        <w:t>Datos útiles (con fuente)</w:t>
      </w:r>
    </w:p>
    <w:p>
      <w:pPr>
        <w:pStyle w:val="ListBullet"/>
      </w:pPr>
      <w:r>
        <w:rPr>
          <w:b w:val="0"/>
          <w:i w:val="0"/>
        </w:rPr>
        <w:t xml:space="preserve">NIDO acompañó </w:t>
      </w:r>
      <w:r>
        <w:rPr>
          <w:b/>
          <w:i w:val="0"/>
        </w:rPr>
        <w:t>220 startups</w:t>
      </w:r>
      <w:r>
        <w:rPr>
          <w:b w:val="0"/>
          <w:i w:val="0"/>
        </w:rPr>
        <w:t xml:space="preserve"> en 2024-2025 (HealthTech, FoodTech, FinTech) [T1-I16].</w:t>
      </w:r>
    </w:p>
    <w:p>
      <w:pPr>
        <w:pStyle w:val="ListBullet"/>
      </w:pPr>
      <w:r>
        <w:rPr>
          <w:b w:val="0"/>
          <w:i w:val="0"/>
        </w:rPr>
        <w:t xml:space="preserve">El Clúster de Excelencia Clínica agrupa </w:t>
      </w:r>
      <w:r>
        <w:rPr>
          <w:b/>
          <w:i w:val="0"/>
        </w:rPr>
        <w:t>528 empresas</w:t>
      </w:r>
      <w:r>
        <w:rPr>
          <w:b w:val="0"/>
          <w:i w:val="0"/>
        </w:rPr>
        <w:t xml:space="preserve"> (2023) y tiene la línea "Modelos de negocio HealthTech" [T1-I9; T1 §1].</w:t>
      </w:r>
    </w:p>
    <w:p>
      <w:pPr>
        <w:pStyle w:val="ListBullet"/>
      </w:pPr>
      <w:r>
        <w:rPr>
          <w:b w:val="0"/>
          <w:i w:val="0"/>
        </w:rPr>
        <w:t>Las convocatorias SGR-CTeI piden alianzas del SNCTI; en la convocatoria 48, el proponente debía ser un actor reconocido por Minciencias o una IES con experiencia en al menos dos proyectos de CTeI [T2 §8].</w:t>
      </w:r>
    </w:p>
    <w:p>
      <w:pPr>
        <w:pStyle w:val="ListBullet"/>
      </w:pPr>
      <w:r>
        <w:rPr>
          <w:b w:val="0"/>
          <w:i w:val="0"/>
        </w:rPr>
        <w:t>El Programa AEDES tuvo una universidad aliada (UIS) [T2 §2, §8].</w:t>
      </w:r>
    </w:p>
    <w:p>
      <w:pPr>
        <w:pStyle w:val="ListBullet"/>
      </w:pPr>
      <w:r>
        <w:rPr>
          <w:b w:val="0"/>
          <w:i w:val="0"/>
        </w:rPr>
        <w:t>Las ESE municipales ejecutan el PIC, que incluye el control de vectores [T2 §4.1, §7].</w:t>
      </w:r>
    </w:p>
    <w:p>
      <w:pPr>
        <w:keepNext/>
        <w:spacing w:before="120"/>
      </w:pPr>
      <w:r>
        <w:rPr>
          <w:b/>
          <w:i w:val="0"/>
        </w:rPr>
        <w:t>Errores comunes</w:t>
      </w:r>
    </w:p>
    <w:p>
      <w:pPr>
        <w:pStyle w:val="ListBullet"/>
      </w:pPr>
      <w:r>
        <w:rPr>
          <w:b w:val="0"/>
          <w:i w:val="0"/>
        </w:rPr>
        <w:t>Repetir a los clientes como socios sin decir qué aportan (la secretaría es las dos cosas: cliente que paga y socio que da datos).</w:t>
      </w:r>
    </w:p>
    <w:p>
      <w:pPr>
        <w:pStyle w:val="ListBullet"/>
      </w:pPr>
      <w:r>
        <w:rPr>
          <w:b w:val="0"/>
          <w:i w:val="0"/>
        </w:rPr>
        <w:t>Poner a DengueIA (Icesi, Univalle) como socio confirmado: no hay contacto ni acuerdo.</w:t>
      </w:r>
    </w:p>
    <w:p>
      <w:pPr>
        <w:pStyle w:val="ListBullet"/>
      </w:pPr>
      <w:r>
        <w:rPr>
          <w:b w:val="0"/>
          <w:i w:val="0"/>
        </w:rPr>
        <w:t>Listar socios sin el aporte de cada uno.</w:t>
      </w:r>
    </w:p>
    <w:p>
      <w:pPr>
        <w:keepNext/>
        <w:spacing w:before="120"/>
      </w:pPr>
      <w:r>
        <w:rPr>
          <w:b/>
          <w:i w:val="0"/>
        </w:rPr>
        <w:t>Propuesta de referencia (ES)</w:t>
      </w:r>
    </w:p>
    <w:p>
      <w:pPr>
        <w:pStyle w:val="ListBullet"/>
      </w:pPr>
      <w:r>
        <w:rPr>
          <w:b/>
          <w:i w:val="0"/>
        </w:rPr>
        <w:t>Secretarías de salud (municipales y departamental):</w:t>
      </w:r>
      <w:r>
        <w:rPr>
          <w:b w:val="0"/>
          <w:i w:val="0"/>
        </w:rPr>
        <w:t xml:space="preserve"> datos por comuna, validación y contratación.</w:t>
      </w:r>
    </w:p>
    <w:p>
      <w:pPr>
        <w:pStyle w:val="ListBullet"/>
      </w:pPr>
      <w:r>
        <w:rPr>
          <w:b/>
          <w:i w:val="0"/>
        </w:rPr>
        <w:t>Laboratorio de Salud Pública Departamental:</w:t>
      </w:r>
      <w:r>
        <w:rPr>
          <w:b w:val="0"/>
          <w:i w:val="0"/>
        </w:rPr>
        <w:t xml:space="preserve"> vigilancia virológica y entomológica.</w:t>
      </w:r>
    </w:p>
    <w:p>
      <w:pPr>
        <w:pStyle w:val="ListBullet"/>
      </w:pPr>
      <w:r>
        <w:rPr>
          <w:b/>
          <w:i w:val="0"/>
        </w:rPr>
        <w:t>UCC (director de proyecto, grupo de investigación):</w:t>
      </w:r>
      <w:r>
        <w:rPr>
          <w:b w:val="0"/>
          <w:i w:val="0"/>
        </w:rPr>
        <w:t xml:space="preserve"> respaldo académico; ejecutor en alianzas SGR o Minciencias.</w:t>
      </w:r>
    </w:p>
    <w:p>
      <w:pPr>
        <w:pStyle w:val="ListBullet"/>
      </w:pPr>
      <w:r>
        <w:rPr>
          <w:b/>
          <w:i w:val="0"/>
        </w:rPr>
        <w:t>SENA-Tecnoparque, NIDO y Clúster de Excelencia Clínica:</w:t>
      </w:r>
      <w:r>
        <w:rPr>
          <w:b w:val="0"/>
          <w:i w:val="0"/>
        </w:rPr>
        <w:t xml:space="preserve"> prototipo, incubación y conexión con IPS/EPS.</w:t>
      </w:r>
    </w:p>
    <w:p>
      <w:pPr>
        <w:pStyle w:val="ListBullet"/>
      </w:pPr>
      <w:r>
        <w:rPr>
          <w:b/>
          <w:i w:val="0"/>
        </w:rPr>
        <w:t>INS y NASA POWER:</w:t>
      </w:r>
      <w:r>
        <w:rPr>
          <w:b w:val="0"/>
          <w:i w:val="0"/>
        </w:rPr>
        <w:t xml:space="preserve"> datos abiertos.</w:t>
      </w:r>
    </w:p>
    <w:p>
      <w:pPr>
        <w:pStyle w:val="ListBullet"/>
      </w:pPr>
      <w:r>
        <w:rPr>
          <w:b/>
          <w:i w:val="0"/>
        </w:rPr>
        <w:t>GitHub y Streamlit:</w:t>
      </w:r>
      <w:r>
        <w:rPr>
          <w:b w:val="0"/>
          <w:i w:val="0"/>
        </w:rPr>
        <w:t xml:space="preserve"> infraestructura gratuita.</w:t>
      </w:r>
    </w:p>
    <w:p>
      <w:pPr>
        <w:pStyle w:val="ListBullet"/>
      </w:pPr>
      <w:r>
        <w:rPr>
          <w:b/>
          <w:i w:val="0"/>
        </w:rPr>
        <w:t>ESE municipales:</w:t>
      </w:r>
      <w:r>
        <w:rPr>
          <w:b w:val="0"/>
          <w:i w:val="0"/>
        </w:rPr>
        <w:t xml:space="preserve"> ejecutan el control vectorial que el mapa ayuda a focalizar.</w:t>
      </w:r>
    </w:p>
    <w:p>
      <w:pPr>
        <w:pStyle w:val="ListBullet"/>
      </w:pPr>
      <w:r>
        <w:rPr>
          <w:b/>
          <w:i w:val="0"/>
        </w:rPr>
        <w:t>Equipo de DengueIA (Icesi, Univalle):</w:t>
      </w:r>
      <w:r>
        <w:rPr>
          <w:b w:val="0"/>
          <w:i w:val="0"/>
        </w:rPr>
        <w:t xml:space="preserve"> posible intercambio metodológico (sin acuerdo).</w:t>
      </w:r>
    </w:p>
    <w:p>
      <w:pPr>
        <w:pStyle w:val="ListBullet"/>
      </w:pPr>
      <w:r>
        <w:rPr>
          <w:b/>
          <w:i w:val="0"/>
        </w:rPr>
        <w:t>Financiadores:</w:t>
      </w:r>
      <w:r>
        <w:rPr>
          <w:b w:val="0"/>
          <w:i w:val="0"/>
        </w:rPr>
        <w:t xml:space="preserve"> Minciencias/SGR, Fondo Emprender y cooperación internacional.</w:t>
      </w:r>
    </w:p>
    <w:p>
      <w:pPr>
        <w:keepNext/>
        <w:spacing w:before="160"/>
      </w:pPr>
      <w:r>
        <w:rPr>
          <w:b/>
          <w:i w:val="0"/>
        </w:rPr>
        <w:t>Texto corto para pegar — Versión corta para la plantilla (ES, 44 palabras)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12" w:color="000000"/>
          <w:left w:val="single" w:sz="12" w:color="000000"/>
          <w:bottom w:val="single" w:sz="12" w:color="000000"/>
          <w:right w:val="single" w:sz="12" w:color="000000"/>
          <w:insideH w:val="single" w:sz="12" w:color="000000"/>
          <w:insideV w:val="single" w:sz="12" w:color="000000"/>
        </w:tblBorders>
      </w:tblPr>
      <w:tblGrid>
        <w:gridCol w:w="9360"/>
      </w:tblGrid>
      <w:tr>
        <w:tc>
          <w:tcPr>
            <w:tcW w:type="dxa" w:w="9360"/>
          </w:tcPr>
          <w:p>
            <w:pPr>
              <w:keepNext/>
              <w:spacing w:line="276" w:lineRule="auto" w:after="40"/>
              <w:ind w:left="283" w:hanging="227"/>
            </w:pPr>
            <w:r/>
            <w:r>
              <w:rPr>
                <w:b w:val="0"/>
                <w:i w:val="0"/>
                <w:sz w:val="22"/>
              </w:rPr>
              <w:t>• Secretarías de salud: datos por comuna y validación</w:t>
            </w:r>
          </w:p>
          <w:p>
            <w:pPr>
              <w:keepNext/>
              <w:spacing w:line="276" w:lineRule="auto" w:after="40"/>
              <w:ind w:left="283" w:hanging="227"/>
            </w:pPr>
            <w:r>
              <w:rPr>
                <w:b w:val="0"/>
                <w:i w:val="0"/>
                <w:sz w:val="22"/>
              </w:rPr>
              <w:t>• Laboratorio de Salud Pública del Valle</w:t>
            </w:r>
          </w:p>
          <w:p>
            <w:pPr>
              <w:keepNext/>
              <w:spacing w:line="276" w:lineRule="auto" w:after="40"/>
              <w:ind w:left="283" w:hanging="227"/>
            </w:pPr>
            <w:r>
              <w:rPr>
                <w:b w:val="0"/>
                <w:i w:val="0"/>
                <w:sz w:val="22"/>
              </w:rPr>
              <w:t>• UCC: respaldo académico y alianzas SGR</w:t>
            </w:r>
          </w:p>
          <w:p>
            <w:pPr>
              <w:keepNext/>
              <w:spacing w:line="276" w:lineRule="auto" w:after="40"/>
              <w:ind w:left="283" w:hanging="227"/>
            </w:pPr>
            <w:r>
              <w:rPr>
                <w:b w:val="0"/>
                <w:i w:val="0"/>
                <w:sz w:val="22"/>
              </w:rPr>
              <w:t>• SENA-Tecnoparque, NIDO, Clúster de Excelencia Clínica</w:t>
            </w:r>
          </w:p>
          <w:p>
            <w:pPr>
              <w:keepNext/>
              <w:spacing w:line="276" w:lineRule="auto" w:after="40"/>
              <w:ind w:left="283" w:hanging="227"/>
            </w:pPr>
            <w:r>
              <w:rPr>
                <w:b w:val="0"/>
                <w:i w:val="0"/>
                <w:sz w:val="22"/>
              </w:rPr>
              <w:t>• INS y NASA POWER: datos abiertos</w:t>
            </w:r>
          </w:p>
          <w:p>
            <w:pPr>
              <w:keepNext/>
              <w:spacing w:line="276" w:lineRule="auto" w:after="40"/>
              <w:ind w:left="283" w:hanging="227"/>
            </w:pPr>
            <w:r>
              <w:rPr>
                <w:b w:val="0"/>
                <w:i w:val="0"/>
                <w:sz w:val="22"/>
              </w:rPr>
              <w:t>• GitHub y Streamlit: infraestructura</w:t>
            </w:r>
          </w:p>
          <w:p>
            <w:pPr>
              <w:keepNext/>
              <w:spacing w:line="276" w:lineRule="auto" w:after="40"/>
              <w:ind w:left="283" w:hanging="227"/>
            </w:pPr>
            <w:r>
              <w:rPr>
                <w:b w:val="0"/>
                <w:i w:val="0"/>
                <w:sz w:val="22"/>
              </w:rPr>
              <w:t>• ESE municipales: control vectorial</w:t>
            </w:r>
          </w:p>
          <w:p>
            <w:pPr>
              <w:keepNext/>
              <w:spacing w:line="276" w:lineRule="auto" w:after="40"/>
              <w:ind w:left="283" w:hanging="227"/>
            </w:pPr>
            <w:r>
              <w:rPr>
                <w:b w:val="0"/>
                <w:i w:val="0"/>
                <w:sz w:val="22"/>
              </w:rPr>
              <w:t>• Minciencias/SGR, Fondo Emprender, cooperación</w:t>
            </w:r>
          </w:p>
        </w:tc>
      </w:tr>
    </w:tbl>
    <w:p>
      <w:pPr>
        <w:spacing w:after="0"/>
      </w:pPr>
    </w:p>
    <w:p>
      <w:pPr>
        <w:keepNext/>
        <w:spacing w:before="120"/>
      </w:pPr>
      <w:r>
        <w:rPr>
          <w:b/>
          <w:i w:val="0"/>
        </w:rPr>
        <w:t>Reference proposal (EN)</w:t>
      </w:r>
    </w:p>
    <w:p>
      <w:pPr>
        <w:pStyle w:val="ListBullet"/>
      </w:pPr>
      <w:r>
        <w:rPr>
          <w:b/>
          <w:i w:val="0"/>
        </w:rPr>
        <w:t>Health secretariats (municipal and departmental):</w:t>
      </w:r>
      <w:r>
        <w:rPr>
          <w:b w:val="0"/>
          <w:i w:val="0"/>
        </w:rPr>
        <w:t xml:space="preserve"> comuna-level data, validation and contracts.</w:t>
      </w:r>
    </w:p>
    <w:p>
      <w:pPr>
        <w:pStyle w:val="ListBullet"/>
      </w:pPr>
      <w:r>
        <w:rPr>
          <w:b/>
          <w:i w:val="0"/>
        </w:rPr>
        <w:t>Departmental Public Health Laboratory:</w:t>
      </w:r>
      <w:r>
        <w:rPr>
          <w:b w:val="0"/>
          <w:i w:val="0"/>
        </w:rPr>
        <w:t xml:space="preserve"> virological and entomological surveillance.</w:t>
      </w:r>
    </w:p>
    <w:p>
      <w:pPr>
        <w:pStyle w:val="ListBullet"/>
      </w:pPr>
      <w:r>
        <w:rPr>
          <w:b/>
          <w:i w:val="0"/>
        </w:rPr>
        <w:t>UCC (thesis advisor, research group):</w:t>
      </w:r>
      <w:r>
        <w:rPr>
          <w:b w:val="0"/>
          <w:i w:val="0"/>
        </w:rPr>
        <w:t xml:space="preserve"> academic backing; lead partner in SGR or Minciencias alliances.</w:t>
      </w:r>
    </w:p>
    <w:p>
      <w:pPr>
        <w:pStyle w:val="ListBullet"/>
      </w:pPr>
      <w:r>
        <w:rPr>
          <w:b/>
          <w:i w:val="0"/>
        </w:rPr>
        <w:t>SENA-Tecnoparque, NIDO and the Clinical Excellence Cluster:</w:t>
      </w:r>
      <w:r>
        <w:rPr>
          <w:b w:val="0"/>
          <w:i w:val="0"/>
        </w:rPr>
        <w:t xml:space="preserve"> prototyping, incubation and links to clinics and insurers.</w:t>
      </w:r>
    </w:p>
    <w:p>
      <w:pPr>
        <w:pStyle w:val="ListBullet"/>
      </w:pPr>
      <w:r>
        <w:rPr>
          <w:b/>
          <w:i w:val="0"/>
        </w:rPr>
        <w:t>INS and NASA POWER:</w:t>
      </w:r>
      <w:r>
        <w:rPr>
          <w:b w:val="0"/>
          <w:i w:val="0"/>
        </w:rPr>
        <w:t xml:space="preserve"> open data.</w:t>
      </w:r>
    </w:p>
    <w:p>
      <w:pPr>
        <w:pStyle w:val="ListBullet"/>
      </w:pPr>
      <w:r>
        <w:rPr>
          <w:b/>
          <w:i w:val="0"/>
        </w:rPr>
        <w:t>GitHub and Streamlit:</w:t>
      </w:r>
      <w:r>
        <w:rPr>
          <w:b w:val="0"/>
          <w:i w:val="0"/>
        </w:rPr>
        <w:t xml:space="preserve"> free infrastructure.</w:t>
      </w:r>
    </w:p>
    <w:p>
      <w:pPr>
        <w:pStyle w:val="ListBullet"/>
      </w:pPr>
      <w:r>
        <w:rPr>
          <w:b/>
          <w:i w:val="0"/>
        </w:rPr>
        <w:t>Municipal public hospitals (ESE):</w:t>
      </w:r>
      <w:r>
        <w:rPr>
          <w:b w:val="0"/>
          <w:i w:val="0"/>
        </w:rPr>
        <w:t xml:space="preserve"> they carry out the mosquito control that the map helps to target.</w:t>
      </w:r>
    </w:p>
    <w:p>
      <w:pPr>
        <w:pStyle w:val="ListBullet"/>
      </w:pPr>
      <w:r>
        <w:rPr>
          <w:b/>
          <w:i w:val="0"/>
        </w:rPr>
        <w:t>DengueIA team (Icesi, Univalle):</w:t>
      </w:r>
      <w:r>
        <w:rPr>
          <w:b w:val="0"/>
          <w:i w:val="0"/>
        </w:rPr>
        <w:t xml:space="preserve"> possible exchange of methods (no agreement yet).</w:t>
      </w:r>
    </w:p>
    <w:p>
      <w:pPr>
        <w:pStyle w:val="ListBullet"/>
      </w:pPr>
      <w:r>
        <w:rPr>
          <w:b/>
          <w:i w:val="0"/>
        </w:rPr>
        <w:t>Funders:</w:t>
      </w:r>
      <w:r>
        <w:rPr>
          <w:b w:val="0"/>
          <w:i w:val="0"/>
        </w:rPr>
        <w:t xml:space="preserve"> Minciencias/SGR, Fondo Emprender and international cooperation.</w:t>
      </w:r>
    </w:p>
    <w:p>
      <w:pPr>
        <w:keepNext/>
        <w:spacing w:before="160"/>
      </w:pPr>
      <w:r>
        <w:rPr>
          <w:b/>
          <w:i w:val="0"/>
        </w:rPr>
        <w:t>Short version (EN) — for the slide — Short version for the template (EN, 42 words)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12" w:color="000000"/>
          <w:left w:val="single" w:sz="12" w:color="000000"/>
          <w:bottom w:val="single" w:sz="12" w:color="000000"/>
          <w:right w:val="single" w:sz="12" w:color="000000"/>
          <w:insideH w:val="single" w:sz="12" w:color="000000"/>
          <w:insideV w:val="single" w:sz="12" w:color="000000"/>
        </w:tblBorders>
      </w:tblPr>
      <w:tblGrid>
        <w:gridCol w:w="9360"/>
      </w:tblGrid>
      <w:tr>
        <w:tc>
          <w:tcPr>
            <w:tcW w:type="dxa" w:w="9360"/>
          </w:tcPr>
          <w:p>
            <w:pPr>
              <w:keepNext/>
              <w:spacing w:line="276" w:lineRule="auto" w:after="40"/>
              <w:ind w:left="283" w:hanging="227"/>
            </w:pPr>
            <w:r/>
            <w:r>
              <w:rPr>
                <w:b w:val="0"/>
                <w:i w:val="0"/>
                <w:sz w:val="22"/>
              </w:rPr>
              <w:t>• Health secretariats: comuna data and validation</w:t>
            </w:r>
          </w:p>
          <w:p>
            <w:pPr>
              <w:keepNext/>
              <w:spacing w:line="276" w:lineRule="auto" w:after="40"/>
              <w:ind w:left="283" w:hanging="227"/>
            </w:pPr>
            <w:r>
              <w:rPr>
                <w:b w:val="0"/>
                <w:i w:val="0"/>
                <w:sz w:val="22"/>
              </w:rPr>
              <w:t>• Valle Public Health Laboratory</w:t>
            </w:r>
          </w:p>
          <w:p>
            <w:pPr>
              <w:keepNext/>
              <w:spacing w:line="276" w:lineRule="auto" w:after="40"/>
              <w:ind w:left="283" w:hanging="227"/>
            </w:pPr>
            <w:r>
              <w:rPr>
                <w:b w:val="0"/>
                <w:i w:val="0"/>
                <w:sz w:val="22"/>
              </w:rPr>
              <w:t>• UCC: academic backing and SGR alliances</w:t>
            </w:r>
          </w:p>
          <w:p>
            <w:pPr>
              <w:keepNext/>
              <w:spacing w:line="276" w:lineRule="auto" w:after="40"/>
              <w:ind w:left="283" w:hanging="227"/>
            </w:pPr>
            <w:r>
              <w:rPr>
                <w:b w:val="0"/>
                <w:i w:val="0"/>
                <w:sz w:val="22"/>
              </w:rPr>
              <w:t>• SENA-Tecnoparque, NIDO, Clinical Excellence Cluster</w:t>
            </w:r>
          </w:p>
          <w:p>
            <w:pPr>
              <w:keepNext/>
              <w:spacing w:line="276" w:lineRule="auto" w:after="40"/>
              <w:ind w:left="283" w:hanging="227"/>
            </w:pPr>
            <w:r>
              <w:rPr>
                <w:b w:val="0"/>
                <w:i w:val="0"/>
                <w:sz w:val="22"/>
              </w:rPr>
              <w:t>• INS and NASA POWER: open data</w:t>
            </w:r>
          </w:p>
          <w:p>
            <w:pPr>
              <w:keepNext/>
              <w:spacing w:line="276" w:lineRule="auto" w:after="40"/>
              <w:ind w:left="283" w:hanging="227"/>
            </w:pPr>
            <w:r>
              <w:rPr>
                <w:b w:val="0"/>
                <w:i w:val="0"/>
                <w:sz w:val="22"/>
              </w:rPr>
              <w:t>• GitHub and Streamlit: infrastructure</w:t>
            </w:r>
          </w:p>
          <w:p>
            <w:pPr>
              <w:keepNext/>
              <w:spacing w:line="276" w:lineRule="auto" w:after="40"/>
              <w:ind w:left="283" w:hanging="227"/>
            </w:pPr>
            <w:r>
              <w:rPr>
                <w:b w:val="0"/>
                <w:i w:val="0"/>
                <w:sz w:val="22"/>
              </w:rPr>
              <w:t>• Municipal public hospitals (ESE): mosquito control</w:t>
            </w:r>
          </w:p>
          <w:p>
            <w:pPr>
              <w:keepNext/>
              <w:spacing w:line="276" w:lineRule="auto" w:after="40"/>
              <w:ind w:left="283" w:hanging="227"/>
            </w:pPr>
            <w:r>
              <w:rPr>
                <w:b w:val="0"/>
                <w:i w:val="0"/>
                <w:sz w:val="22"/>
              </w:rPr>
              <w:t>• Minciencias/SGR, Fondo Emprender, international donors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9. Estructura de costos — Bloque 8 (9.° en la pauta)</w:t>
      </w:r>
    </w:p>
    <w:p>
      <w:r>
        <w:rPr>
          <w:b/>
          <w:i w:val="0"/>
        </w:rPr>
        <w:t>Qué pide el bloque.</w:t>
      </w:r>
      <w:r>
        <w:rPr>
          <w:b w:val="0"/>
          <w:i w:val="0"/>
        </w:rPr>
        <w:t xml:space="preserve"> Los costos más importantes de operar el modelo, si son fijos o variables, y si el modelo se guía por costo bajo o por valor.</w:t>
      </w:r>
    </w:p>
    <w:p>
      <w:pPr>
        <w:keepNext/>
        <w:spacing w:before="120"/>
      </w:pPr>
      <w:r>
        <w:rPr>
          <w:b/>
          <w:i w:val="0"/>
        </w:rPr>
        <w:t>Preguntas guía</w:t>
      </w:r>
    </w:p>
    <w:p>
      <w:pPr>
        <w:pStyle w:val="ListBullet"/>
      </w:pPr>
      <w:r>
        <w:rPr>
          <w:b w:val="0"/>
          <w:i w:val="0"/>
        </w:rPr>
        <w:t>¿Cuál es el costo dominante? (El tiempo de una persona.)</w:t>
      </w:r>
    </w:p>
    <w:p>
      <w:pPr>
        <w:pStyle w:val="ListBullet"/>
      </w:pPr>
      <w:r>
        <w:rPr>
          <w:b w:val="0"/>
          <w:i w:val="0"/>
        </w:rPr>
        <w:t>¿Qué cuesta la infraestructura mientras el mapa sea público?</w:t>
      </w:r>
    </w:p>
    <w:p>
      <w:pPr>
        <w:pStyle w:val="ListBullet"/>
      </w:pPr>
      <w:r>
        <w:rPr>
          <w:b w:val="0"/>
          <w:i w:val="0"/>
        </w:rPr>
        <w:t>¿Qué costos aparecen al pasar de prototipo a piloto?</w:t>
      </w:r>
    </w:p>
    <w:p>
      <w:pPr>
        <w:pStyle w:val="ListBullet"/>
      </w:pPr>
      <w:r>
        <w:rPr>
          <w:b w:val="0"/>
          <w:i w:val="0"/>
        </w:rPr>
        <w:t>¿Qué costo aparecería si una IPS o EPS pide un tablero privado?</w:t>
      </w:r>
    </w:p>
    <w:p>
      <w:pPr>
        <w:keepNext/>
        <w:spacing w:before="120"/>
      </w:pPr>
      <w:r>
        <w:rPr>
          <w:b/>
          <w:i w:val="0"/>
        </w:rPr>
        <w:t>Datos útiles (con fuente)</w:t>
      </w:r>
    </w:p>
    <w:p>
      <w:pPr>
        <w:pStyle w:val="ListBullet"/>
      </w:pPr>
      <w:r>
        <w:rPr>
          <w:b w:val="0"/>
          <w:i w:val="0"/>
        </w:rPr>
        <w:t xml:space="preserve">Infraestructura: </w:t>
      </w:r>
      <w:r>
        <w:rPr>
          <w:b/>
          <w:i w:val="0"/>
        </w:rPr>
        <w:t>$0</w:t>
      </w:r>
      <w:r>
        <w:rPr>
          <w:b w:val="0"/>
          <w:i w:val="0"/>
        </w:rPr>
        <w:t xml:space="preserve"> (NASA POWER, GitHub Free y Streamlit Community Cloud) [T2 §9.1].</w:t>
      </w:r>
    </w:p>
    <w:p>
      <w:pPr>
        <w:pStyle w:val="ListBullet"/>
      </w:pPr>
      <w:r>
        <w:rPr>
          <w:b w:val="0"/>
          <w:i w:val="0"/>
        </w:rPr>
        <w:t xml:space="preserve">Dominio .com.co: </w:t>
      </w:r>
      <w:r>
        <w:rPr>
          <w:b/>
          <w:i w:val="0"/>
        </w:rPr>
        <w:t>$114.990</w:t>
      </w:r>
      <w:r>
        <w:rPr>
          <w:b w:val="0"/>
          <w:i w:val="0"/>
        </w:rPr>
        <w:t xml:space="preserve"> el registro y </w:t>
      </w:r>
      <w:r>
        <w:rPr>
          <w:b/>
          <w:i w:val="0"/>
        </w:rPr>
        <w:t>$149.990</w:t>
      </w:r>
      <w:r>
        <w:rPr>
          <w:b w:val="0"/>
          <w:i w:val="0"/>
        </w:rPr>
        <w:t xml:space="preserve"> la renovación (IVA incluido) [T2 §9.1].</w:t>
      </w:r>
    </w:p>
    <w:p>
      <w:pPr>
        <w:pStyle w:val="ListBullet"/>
      </w:pPr>
      <w:r>
        <w:rPr>
          <w:b w:val="0"/>
          <w:i w:val="0"/>
        </w:rPr>
        <w:t xml:space="preserve">Ingeniero/a de sistemas en Cali: </w:t>
      </w:r>
      <w:r>
        <w:rPr>
          <w:b/>
          <w:i w:val="0"/>
        </w:rPr>
        <w:t>$2.200.927/mes</w:t>
      </w:r>
      <w:r>
        <w:rPr>
          <w:b w:val="0"/>
          <w:i w:val="0"/>
        </w:rPr>
        <w:t xml:space="preserve"> (Indeed, </w:t>
      </w:r>
      <w:r>
        <w:rPr>
          <w:b/>
          <w:i w:val="0"/>
        </w:rPr>
        <w:t>7 salarios</w:t>
      </w:r>
      <w:r>
        <w:rPr>
          <w:b w:val="0"/>
          <w:i w:val="0"/>
        </w:rPr>
        <w:t xml:space="preserve">: muestra pequeña); en Colombia: </w:t>
      </w:r>
      <w:r>
        <w:rPr>
          <w:b/>
          <w:i w:val="0"/>
        </w:rPr>
        <w:t>$2.583.055/mes</w:t>
      </w:r>
      <w:r>
        <w:rPr>
          <w:b w:val="0"/>
          <w:i w:val="0"/>
        </w:rPr>
        <w:t xml:space="preserve"> [T2 §9.1].</w:t>
      </w:r>
    </w:p>
    <w:p>
      <w:pPr>
        <w:pStyle w:val="ListBullet"/>
      </w:pPr>
      <w:r>
        <w:rPr>
          <w:b w:val="0"/>
          <w:i w:val="0"/>
        </w:rPr>
        <w:t xml:space="preserve">Salario mínimo 2026: </w:t>
      </w:r>
      <w:r>
        <w:rPr>
          <w:b/>
          <w:i w:val="0"/>
        </w:rPr>
        <w:t>$1.750.905</w:t>
      </w:r>
      <w:r>
        <w:rPr>
          <w:b w:val="0"/>
          <w:i w:val="0"/>
        </w:rPr>
        <w:t xml:space="preserve"> (Decreto 159 de 2026, transitorio) [T2 §9.1].</w:t>
      </w:r>
    </w:p>
    <w:p>
      <w:pPr>
        <w:pStyle w:val="ListBullet"/>
      </w:pPr>
      <w:r>
        <w:rPr>
          <w:b w:val="0"/>
          <w:i w:val="0"/>
        </w:rPr>
        <w:t xml:space="preserve">Escenarios [supuesto, cálculo de T2]: prototipo ≈ </w:t>
      </w:r>
      <w:r>
        <w:rPr>
          <w:b/>
          <w:i w:val="0"/>
        </w:rPr>
        <w:t>$0 a $150.000/año</w:t>
      </w:r>
      <w:r>
        <w:rPr>
          <w:b w:val="0"/>
          <w:i w:val="0"/>
        </w:rPr>
        <w:t xml:space="preserve">; piloto de </w:t>
      </w:r>
      <w:r>
        <w:rPr>
          <w:b/>
          <w:i w:val="0"/>
        </w:rPr>
        <w:t>6 meses</w:t>
      </w:r>
      <w:r>
        <w:rPr>
          <w:b w:val="0"/>
          <w:i w:val="0"/>
        </w:rPr>
        <w:t xml:space="preserve"> con 1 persona ≈ </w:t>
      </w:r>
      <w:r>
        <w:rPr>
          <w:b/>
          <w:i w:val="0"/>
        </w:rPr>
        <w:t>$13,2 millones</w:t>
      </w:r>
      <w:r>
        <w:rPr>
          <w:b w:val="0"/>
          <w:i w:val="0"/>
        </w:rPr>
        <w:t xml:space="preserve"> (sin carga prestacional), más dominio y desplazamientos [T2 §9.2].</w:t>
      </w:r>
    </w:p>
    <w:p>
      <w:pPr>
        <w:pStyle w:val="ListBullet"/>
      </w:pPr>
      <w:r>
        <w:rPr>
          <w:b w:val="0"/>
          <w:i w:val="0"/>
        </w:rPr>
        <w:t xml:space="preserve">Azure for Students (opcional): </w:t>
      </w:r>
      <w:r>
        <w:rPr>
          <w:b/>
          <w:i w:val="0"/>
        </w:rPr>
        <w:t>USD 100</w:t>
      </w:r>
      <w:r>
        <w:rPr>
          <w:b w:val="0"/>
          <w:i w:val="0"/>
        </w:rPr>
        <w:t xml:space="preserve">, equivalente a ≈ </w:t>
      </w:r>
      <w:r>
        <w:rPr>
          <w:b/>
          <w:i w:val="0"/>
        </w:rPr>
        <w:t>$331.284</w:t>
      </w:r>
      <w:r>
        <w:rPr>
          <w:b w:val="0"/>
          <w:i w:val="0"/>
        </w:rPr>
        <w:t xml:space="preserve"> en crédito (TRM $3.312,84 del 1-oct-2026) [T2 §9.1].</w:t>
      </w:r>
    </w:p>
    <w:p>
      <w:pPr>
        <w:keepNext/>
        <w:spacing w:before="120"/>
      </w:pPr>
      <w:r>
        <w:rPr>
          <w:b/>
          <w:i w:val="0"/>
        </w:rPr>
        <w:t>Errores comunes</w:t>
      </w:r>
    </w:p>
    <w:p>
      <w:pPr>
        <w:pStyle w:val="ListBullet"/>
      </w:pPr>
      <w:r>
        <w:rPr>
          <w:b w:val="0"/>
          <w:i w:val="0"/>
        </w:rPr>
        <w:t>Poner "costo $0": la infraestructura es gratis, pero tu tiempo no.</w:t>
      </w:r>
    </w:p>
    <w:p>
      <w:pPr>
        <w:pStyle w:val="ListBullet"/>
      </w:pPr>
      <w:r>
        <w:rPr>
          <w:b w:val="0"/>
          <w:i w:val="0"/>
        </w:rPr>
        <w:t>Usar el salario de científico de datos de Colombia (</w:t>
      </w:r>
      <w:r>
        <w:rPr>
          <w:b/>
          <w:i w:val="0"/>
        </w:rPr>
        <w:t>$6.909.154</w:t>
      </w:r>
      <w:r>
        <w:rPr>
          <w:b w:val="0"/>
          <w:i w:val="0"/>
        </w:rPr>
        <w:t>) como si fuera el de un junior en Cali [T2 §9.1].</w:t>
      </w:r>
    </w:p>
    <w:p>
      <w:pPr>
        <w:pStyle w:val="ListBullet"/>
      </w:pPr>
      <w:r>
        <w:rPr>
          <w:b w:val="0"/>
          <w:i w:val="0"/>
        </w:rPr>
        <w:t>Olvidar desplazamientos a los municipios y la capacitación.</w:t>
      </w:r>
    </w:p>
    <w:p>
      <w:pPr>
        <w:pStyle w:val="ListBullet"/>
      </w:pPr>
      <w:r>
        <w:rPr>
          <w:b w:val="0"/>
          <w:i w:val="0"/>
        </w:rPr>
        <w:t>Meter aquí lo que te dan los financiadores (eso va en ingresos o socios).</w:t>
      </w:r>
    </w:p>
    <w:p>
      <w:pPr>
        <w:keepNext/>
        <w:spacing w:before="120"/>
      </w:pPr>
      <w:r>
        <w:rPr>
          <w:b/>
          <w:i w:val="0"/>
        </w:rPr>
        <w:t>Propuesta de referencia (ES)</w:t>
      </w:r>
    </w:p>
    <w:p>
      <w:pPr>
        <w:pStyle w:val="ListBullet"/>
      </w:pPr>
      <w:r>
        <w:rPr>
          <w:b/>
          <w:i w:val="0"/>
        </w:rPr>
        <w:t>Modelo guiado por costos bajos:</w:t>
      </w:r>
      <w:r>
        <w:rPr>
          <w:b w:val="0"/>
          <w:i w:val="0"/>
        </w:rPr>
        <w:t xml:space="preserve"> infraestructura gratuita mientras el mapa sea público.</w:t>
      </w:r>
    </w:p>
    <w:p>
      <w:pPr>
        <w:pStyle w:val="ListBullet"/>
      </w:pPr>
      <w:r>
        <w:rPr>
          <w:b/>
          <w:i w:val="0"/>
        </w:rPr>
        <w:t>Costo fijo dominante:</w:t>
      </w:r>
      <w:r>
        <w:rPr>
          <w:b w:val="0"/>
          <w:i w:val="0"/>
        </w:rPr>
        <w:t xml:space="preserve"> personal (1 persona). Referencia: $2,2 millones/mes de un ingeniero de sistemas en Cali (muestra pequeña) y $2,58 millones/mes en Colombia.</w:t>
      </w:r>
    </w:p>
    <w:p>
      <w:pPr>
        <w:pStyle w:val="ListBullet"/>
      </w:pPr>
      <w:r>
        <w:rPr>
          <w:b/>
          <w:i w:val="0"/>
        </w:rPr>
        <w:t>Costos variables:</w:t>
      </w:r>
      <w:r>
        <w:rPr>
          <w:b w:val="0"/>
          <w:i w:val="0"/>
        </w:rPr>
        <w:t xml:space="preserve"> desplazamientos a cada municipio para validar y capacitar </w:t>
      </w:r>
      <w:r>
        <w:rPr>
          <w:b/>
          <w:i w:val="0"/>
        </w:rPr>
        <w:t>[supuesto, sin valor de referencia]</w:t>
      </w:r>
      <w:r>
        <w:rPr>
          <w:b w:val="0"/>
          <w:i w:val="0"/>
        </w:rPr>
        <w:t>.</w:t>
      </w:r>
    </w:p>
    <w:p>
      <w:pPr>
        <w:pStyle w:val="ListBullet"/>
      </w:pPr>
      <w:r>
        <w:rPr>
          <w:b/>
          <w:i w:val="0"/>
        </w:rPr>
        <w:t>Costos menores:</w:t>
      </w:r>
      <w:r>
        <w:rPr>
          <w:b w:val="0"/>
          <w:i w:val="0"/>
        </w:rPr>
        <w:t xml:space="preserve"> dominio propio ($114.990 el registro .com.co).</w:t>
      </w:r>
    </w:p>
    <w:p>
      <w:pPr>
        <w:pStyle w:val="ListBullet"/>
      </w:pPr>
      <w:r>
        <w:rPr>
          <w:b/>
          <w:i w:val="0"/>
        </w:rPr>
        <w:t>Escenarios:</w:t>
      </w:r>
      <w:r>
        <w:rPr>
          <w:b w:val="0"/>
          <w:i w:val="0"/>
        </w:rPr>
        <w:t xml:space="preserve"> prototipo ≈ $0 a $150.000 al año; piloto de 6 meses en un municipio ≈ $13,2 millones más desplazamientos </w:t>
      </w:r>
      <w:r>
        <w:rPr>
          <w:b/>
          <w:i w:val="0"/>
        </w:rPr>
        <w:t>[supuesto]</w:t>
      </w:r>
      <w:r>
        <w:rPr>
          <w:b w:val="0"/>
          <w:i w:val="0"/>
        </w:rPr>
        <w:t>.</w:t>
      </w:r>
    </w:p>
    <w:p>
      <w:pPr>
        <w:pStyle w:val="ListBullet"/>
      </w:pPr>
      <w:r>
        <w:rPr>
          <w:b/>
          <w:i w:val="0"/>
        </w:rPr>
        <w:t>Riesgo de costo:</w:t>
      </w:r>
      <w:r>
        <w:rPr>
          <w:b w:val="0"/>
          <w:i w:val="0"/>
        </w:rPr>
        <w:t xml:space="preserve"> un tablero privado para IPS/EPS exigiría pagar nube </w:t>
      </w:r>
      <w:r>
        <w:rPr>
          <w:b/>
          <w:i w:val="0"/>
        </w:rPr>
        <w:t>[supuesto]</w:t>
      </w:r>
      <w:r>
        <w:rPr>
          <w:b w:val="0"/>
          <w:i w:val="0"/>
        </w:rPr>
        <w:t>.</w:t>
      </w:r>
    </w:p>
    <w:p>
      <w:pPr>
        <w:keepNext/>
        <w:spacing w:before="160"/>
      </w:pPr>
      <w:r>
        <w:rPr>
          <w:b/>
          <w:i w:val="0"/>
        </w:rPr>
        <w:t>Texto corto para pegar — Versión corta para la plantilla (ES, 34 palabras)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12" w:color="000000"/>
          <w:left w:val="single" w:sz="12" w:color="000000"/>
          <w:bottom w:val="single" w:sz="12" w:color="000000"/>
          <w:right w:val="single" w:sz="12" w:color="000000"/>
          <w:insideH w:val="single" w:sz="12" w:color="000000"/>
          <w:insideV w:val="single" w:sz="12" w:color="000000"/>
        </w:tblBorders>
      </w:tblPr>
      <w:tblGrid>
        <w:gridCol w:w="9360"/>
      </w:tblGrid>
      <w:tr>
        <w:tc>
          <w:tcPr>
            <w:tcW w:type="dxa" w:w="9360"/>
          </w:tcPr>
          <w:p>
            <w:pPr>
              <w:keepNext/>
              <w:spacing w:line="276" w:lineRule="auto" w:after="40"/>
              <w:ind w:left="283" w:hanging="227"/>
            </w:pPr>
            <w:r/>
            <w:r>
              <w:rPr>
                <w:b w:val="0"/>
                <w:i w:val="0"/>
                <w:sz w:val="22"/>
              </w:rPr>
              <w:t>• Personal: 1 persona (ref. $2,2 M/mes, ingeniero en Cali)</w:t>
            </w:r>
          </w:p>
          <w:p>
            <w:pPr>
              <w:keepNext/>
              <w:spacing w:line="276" w:lineRule="auto" w:after="40"/>
              <w:ind w:left="283" w:hanging="227"/>
            </w:pPr>
            <w:r>
              <w:rPr>
                <w:b w:val="0"/>
                <w:i w:val="0"/>
                <w:sz w:val="22"/>
              </w:rPr>
              <w:t>• Infraestructura: $0 (NASA POWER, GitHub, Streamlit)</w:t>
            </w:r>
          </w:p>
          <w:p>
            <w:pPr>
              <w:keepNext/>
              <w:spacing w:line="276" w:lineRule="auto" w:after="40"/>
              <w:ind w:left="283" w:hanging="227"/>
            </w:pPr>
            <w:r>
              <w:rPr>
                <w:b w:val="0"/>
                <w:i w:val="0"/>
                <w:sz w:val="22"/>
              </w:rPr>
              <w:t>• Dominio .com.co: $114.990</w:t>
            </w:r>
          </w:p>
          <w:p>
            <w:pPr>
              <w:keepNext/>
              <w:spacing w:line="276" w:lineRule="auto" w:after="40"/>
              <w:ind w:left="283" w:hanging="227"/>
            </w:pPr>
            <w:r>
              <w:rPr>
                <w:b w:val="0"/>
                <w:i w:val="0"/>
                <w:sz w:val="22"/>
              </w:rPr>
              <w:t>• Desplazamientos a municipios (a estimar)</w:t>
            </w:r>
          </w:p>
          <w:p>
            <w:pPr>
              <w:keepNext/>
              <w:spacing w:line="276" w:lineRule="auto" w:after="40"/>
              <w:ind w:left="283" w:hanging="227"/>
            </w:pPr>
            <w:r>
              <w:rPr>
                <w:b w:val="0"/>
                <w:i w:val="0"/>
                <w:sz w:val="22"/>
              </w:rPr>
              <w:t>• Piloto 6 meses ≈ $13,2 M (estimado)</w:t>
            </w:r>
          </w:p>
          <w:p>
            <w:pPr>
              <w:keepNext/>
              <w:spacing w:line="276" w:lineRule="auto" w:after="40"/>
              <w:ind w:left="283" w:hanging="227"/>
            </w:pPr>
            <w:r>
              <w:rPr>
                <w:b w:val="0"/>
                <w:i w:val="0"/>
                <w:sz w:val="22"/>
              </w:rPr>
              <w:t>• Modelo de costos bajos</w:t>
            </w:r>
          </w:p>
        </w:tc>
      </w:tr>
    </w:tbl>
    <w:p>
      <w:pPr>
        <w:spacing w:after="0"/>
      </w:pPr>
    </w:p>
    <w:p>
      <w:pPr>
        <w:keepNext/>
        <w:spacing w:before="120"/>
      </w:pPr>
      <w:r>
        <w:rPr>
          <w:b/>
          <w:i w:val="0"/>
        </w:rPr>
        <w:t>Reference proposal (EN)</w:t>
      </w:r>
    </w:p>
    <w:p>
      <w:pPr>
        <w:pStyle w:val="ListBullet"/>
      </w:pPr>
      <w:r>
        <w:rPr>
          <w:b/>
          <w:i w:val="0"/>
        </w:rPr>
        <w:t>Cost-driven model:</w:t>
      </w:r>
      <w:r>
        <w:rPr>
          <w:b w:val="0"/>
          <w:i w:val="0"/>
        </w:rPr>
        <w:t xml:space="preserve"> free infrastructure while the map stays public.</w:t>
      </w:r>
    </w:p>
    <w:p>
      <w:pPr>
        <w:pStyle w:val="ListBullet"/>
      </w:pPr>
      <w:r>
        <w:rPr>
          <w:b/>
          <w:i w:val="0"/>
        </w:rPr>
        <w:t>Main fixed cost:</w:t>
      </w:r>
      <w:r>
        <w:rPr>
          <w:b w:val="0"/>
          <w:i w:val="0"/>
        </w:rPr>
        <w:t xml:space="preserve"> people (1 person). Benchmark: COP 2.2 million/month for a systems engineer in Cali (small sample) and COP 2.58 million/month nationwide.</w:t>
      </w:r>
    </w:p>
    <w:p>
      <w:pPr>
        <w:pStyle w:val="ListBullet"/>
      </w:pPr>
      <w:r>
        <w:rPr>
          <w:b/>
          <w:i w:val="0"/>
        </w:rPr>
        <w:t>Variable costs:</w:t>
      </w:r>
      <w:r>
        <w:rPr>
          <w:b w:val="0"/>
          <w:i w:val="0"/>
        </w:rPr>
        <w:t xml:space="preserve"> travel to each municipality for validation and training </w:t>
      </w:r>
      <w:r>
        <w:rPr>
          <w:b/>
          <w:i w:val="0"/>
        </w:rPr>
        <w:t>[assumption, no benchmark]</w:t>
      </w:r>
      <w:r>
        <w:rPr>
          <w:b w:val="0"/>
          <w:i w:val="0"/>
        </w:rPr>
        <w:t>.</w:t>
      </w:r>
    </w:p>
    <w:p>
      <w:pPr>
        <w:pStyle w:val="ListBullet"/>
      </w:pPr>
      <w:r>
        <w:rPr>
          <w:b/>
          <w:i w:val="0"/>
        </w:rPr>
        <w:t>Minor costs:</w:t>
      </w:r>
      <w:r>
        <w:rPr>
          <w:b w:val="0"/>
          <w:i w:val="0"/>
        </w:rPr>
        <w:t xml:space="preserve"> own domain name (COP 114,990 to register a .com.co).</w:t>
      </w:r>
    </w:p>
    <w:p>
      <w:pPr>
        <w:pStyle w:val="ListBullet"/>
      </w:pPr>
      <w:r>
        <w:rPr>
          <w:b/>
          <w:i w:val="0"/>
        </w:rPr>
        <w:t>Scenarios:</w:t>
      </w:r>
      <w:r>
        <w:rPr>
          <w:b w:val="0"/>
          <w:i w:val="0"/>
        </w:rPr>
        <w:t xml:space="preserve"> prototype ≈ COP 0 to 150,000 per year; 6-month pilot in one municipality ≈ COP 13.2 million plus travel </w:t>
      </w:r>
      <w:r>
        <w:rPr>
          <w:b/>
          <w:i w:val="0"/>
        </w:rPr>
        <w:t>[assumption]</w:t>
      </w:r>
      <w:r>
        <w:rPr>
          <w:b w:val="0"/>
          <w:i w:val="0"/>
        </w:rPr>
        <w:t>.</w:t>
      </w:r>
    </w:p>
    <w:p>
      <w:pPr>
        <w:pStyle w:val="ListBullet"/>
      </w:pPr>
      <w:r>
        <w:rPr>
          <w:b/>
          <w:i w:val="0"/>
        </w:rPr>
        <w:t>Cost risk:</w:t>
      </w:r>
      <w:r>
        <w:rPr>
          <w:b w:val="0"/>
          <w:i w:val="0"/>
        </w:rPr>
        <w:t xml:space="preserve"> a private dashboard for clinics or insurers would require paid cloud hosting </w:t>
      </w:r>
      <w:r>
        <w:rPr>
          <w:b/>
          <w:i w:val="0"/>
        </w:rPr>
        <w:t>[assumption]</w:t>
      </w:r>
      <w:r>
        <w:rPr>
          <w:b w:val="0"/>
          <w:i w:val="0"/>
        </w:rPr>
        <w:t>.</w:t>
      </w:r>
    </w:p>
    <w:p>
      <w:pPr>
        <w:keepNext/>
        <w:spacing w:before="160"/>
      </w:pPr>
      <w:r>
        <w:rPr>
          <w:b/>
          <w:i w:val="0"/>
        </w:rPr>
        <w:t>Short version (EN) — for the slide — Short version for the template (EN, 34 words)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12" w:color="000000"/>
          <w:left w:val="single" w:sz="12" w:color="000000"/>
          <w:bottom w:val="single" w:sz="12" w:color="000000"/>
          <w:right w:val="single" w:sz="12" w:color="000000"/>
          <w:insideH w:val="single" w:sz="12" w:color="000000"/>
          <w:insideV w:val="single" w:sz="12" w:color="000000"/>
        </w:tblBorders>
      </w:tblPr>
      <w:tblGrid>
        <w:gridCol w:w="9360"/>
      </w:tblGrid>
      <w:tr>
        <w:tc>
          <w:tcPr>
            <w:tcW w:type="dxa" w:w="9360"/>
          </w:tcPr>
          <w:p>
            <w:pPr>
              <w:keepNext/>
              <w:spacing w:line="276" w:lineRule="auto" w:after="40"/>
              <w:ind w:left="283" w:hanging="227"/>
            </w:pPr>
            <w:r/>
            <w:r>
              <w:rPr>
                <w:b w:val="0"/>
                <w:i w:val="0"/>
                <w:sz w:val="22"/>
              </w:rPr>
              <w:t>• People: 1 person (benchmark COP 2.2M/month, engineer in Cali)</w:t>
            </w:r>
          </w:p>
          <w:p>
            <w:pPr>
              <w:keepNext/>
              <w:spacing w:line="276" w:lineRule="auto" w:after="40"/>
              <w:ind w:left="283" w:hanging="227"/>
            </w:pPr>
            <w:r>
              <w:rPr>
                <w:b w:val="0"/>
                <w:i w:val="0"/>
                <w:sz w:val="22"/>
              </w:rPr>
              <w:t>• Infrastructure: COP 0 (NASA POWER, GitHub, Streamlit)</w:t>
            </w:r>
          </w:p>
          <w:p>
            <w:pPr>
              <w:keepNext/>
              <w:spacing w:line="276" w:lineRule="auto" w:after="40"/>
              <w:ind w:left="283" w:hanging="227"/>
            </w:pPr>
            <w:r>
              <w:rPr>
                <w:b w:val="0"/>
                <w:i w:val="0"/>
                <w:sz w:val="22"/>
              </w:rPr>
              <w:t>• .com.co domain: COP 114,990</w:t>
            </w:r>
          </w:p>
          <w:p>
            <w:pPr>
              <w:keepNext/>
              <w:spacing w:line="276" w:lineRule="auto" w:after="40"/>
              <w:ind w:left="283" w:hanging="227"/>
            </w:pPr>
            <w:r>
              <w:rPr>
                <w:b w:val="0"/>
                <w:i w:val="0"/>
                <w:sz w:val="22"/>
              </w:rPr>
              <w:t>• Travel to municipalities (to be estimated)</w:t>
            </w:r>
          </w:p>
          <w:p>
            <w:pPr>
              <w:keepNext/>
              <w:spacing w:line="276" w:lineRule="auto" w:after="40"/>
              <w:ind w:left="283" w:hanging="227"/>
            </w:pPr>
            <w:r>
              <w:rPr>
                <w:b w:val="0"/>
                <w:i w:val="0"/>
                <w:sz w:val="22"/>
              </w:rPr>
              <w:t>• 6-month pilot ≈ COP 13.2M (estimate)</w:t>
            </w:r>
          </w:p>
          <w:p>
            <w:pPr>
              <w:keepNext/>
              <w:spacing w:line="276" w:lineRule="auto" w:after="40"/>
              <w:ind w:left="283" w:hanging="227"/>
            </w:pPr>
            <w:r>
              <w:rPr>
                <w:b w:val="0"/>
                <w:i w:val="0"/>
                <w:sz w:val="22"/>
              </w:rPr>
              <w:t>• Low-cost model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10. Chequeo de coherencia final (antes de entregar)</w:t>
      </w:r>
    </w:p>
    <w:p>
      <w:pPr>
        <w:ind w:left="454" w:hanging="340"/>
      </w:pPr>
      <w:r>
        <w:rPr>
          <w:b w:val="0"/>
          <w:i w:val="0"/>
        </w:rPr>
        <w:t xml:space="preserve">☐  El título de la plantilla dice </w:t>
      </w:r>
      <w:r>
        <w:rPr>
          <w:b/>
          <w:i w:val="0"/>
        </w:rPr>
        <w:t>AedesAlert Cali</w:t>
      </w:r>
      <w:r>
        <w:rPr>
          <w:b w:val="0"/>
          <w:i w:val="0"/>
        </w:rPr>
        <w:t xml:space="preserve"> (o el nombre que elegiste) y es el mismo del deck y del guion.</w:t>
      </w:r>
    </w:p>
    <w:p>
      <w:pPr>
        <w:ind w:left="454" w:hanging="340"/>
      </w:pPr>
      <w:r>
        <w:rPr>
          <w:b w:val="0"/>
          <w:i w:val="0"/>
        </w:rPr>
        <w:t>☐  Los 9 recuadros están llenos, en viñetas, sin párrafos, dentro del límite de palabras (45; 60 en Socios y Segmentos).</w:t>
      </w:r>
    </w:p>
    <w:p>
      <w:pPr>
        <w:ind w:left="454" w:hanging="340"/>
      </w:pPr>
      <w:r>
        <w:rPr>
          <w:b w:val="0"/>
          <w:i w:val="0"/>
        </w:rPr>
        <w:t xml:space="preserve">☐  </w:t>
      </w:r>
      <w:r>
        <w:rPr>
          <w:b/>
          <w:i w:val="0"/>
        </w:rPr>
        <w:t>Segmento principal → propuesta → canal → relación → ingreso:</w:t>
      </w:r>
      <w:r>
        <w:rPr>
          <w:b w:val="0"/>
          <w:i w:val="0"/>
        </w:rPr>
        <w:t xml:space="preserve"> secretarías de los 8 municipios → mapa semanal abierto → SECOP II/COVE/piloto → co-creación + soporte anual → servicios de implementación, capacitación y soporte.</w:t>
      </w:r>
    </w:p>
    <w:p>
      <w:pPr>
        <w:ind w:left="454" w:hanging="340"/>
      </w:pPr>
      <w:r>
        <w:rPr>
          <w:b w:val="0"/>
          <w:i w:val="0"/>
        </w:rPr>
        <w:t xml:space="preserve">☐  </w:t>
      </w:r>
      <w:r>
        <w:rPr>
          <w:b/>
          <w:i w:val="0"/>
        </w:rPr>
        <w:t>Gobernación:</w:t>
      </w:r>
      <w:r>
        <w:rPr>
          <w:b w:val="0"/>
          <w:i w:val="0"/>
        </w:rPr>
        <w:t xml:space="preserve"> aparece en Segmentos (cliente y aliado), Socios (Laboratorio de Salud Pública) y Propuesta (los 9 municipios en un mapa).</w:t>
      </w:r>
    </w:p>
    <w:p>
      <w:pPr>
        <w:ind w:left="454" w:hanging="340"/>
      </w:pPr>
      <w:r>
        <w:rPr>
          <w:b w:val="0"/>
          <w:i w:val="0"/>
        </w:rPr>
        <w:t xml:space="preserve">☐  </w:t>
      </w:r>
      <w:r>
        <w:rPr>
          <w:b/>
          <w:i w:val="0"/>
        </w:rPr>
        <w:t>Cali:</w:t>
      </w:r>
      <w:r>
        <w:rPr>
          <w:b w:val="0"/>
          <w:i w:val="0"/>
        </w:rPr>
        <w:t xml:space="preserve"> aparece como usuario de referencia, no como cliente principal.</w:t>
      </w:r>
    </w:p>
    <w:p>
      <w:pPr>
        <w:ind w:left="454" w:hanging="340"/>
      </w:pPr>
      <w:r>
        <w:rPr>
          <w:b w:val="0"/>
          <w:i w:val="0"/>
        </w:rPr>
        <w:t xml:space="preserve">☐  </w:t>
      </w:r>
      <w:r>
        <w:rPr>
          <w:b/>
          <w:i w:val="0"/>
        </w:rPr>
        <w:t>IPS/EPS:</w:t>
      </w:r>
      <w:r>
        <w:rPr>
          <w:b w:val="0"/>
          <w:i w:val="0"/>
        </w:rPr>
        <w:t xml:space="preserve"> marcadas como hipótesis en Segmentos e Ingresos.</w:t>
      </w:r>
    </w:p>
    <w:p>
      <w:pPr>
        <w:ind w:left="454" w:hanging="340"/>
      </w:pPr>
      <w:r>
        <w:rPr>
          <w:b w:val="0"/>
          <w:i w:val="0"/>
        </w:rPr>
        <w:t xml:space="preserve">☐  </w:t>
      </w:r>
      <w:r>
        <w:rPr>
          <w:b/>
          <w:i w:val="0"/>
        </w:rPr>
        <w:t>Código libre</w:t>
      </w:r>
      <w:r>
        <w:rPr>
          <w:b w:val="0"/>
          <w:i w:val="0"/>
        </w:rPr>
        <w:t xml:space="preserve"> en Propuesta, y ningún ingreso por licencias en Ingresos.</w:t>
      </w:r>
    </w:p>
    <w:p>
      <w:pPr>
        <w:ind w:left="454" w:hanging="340"/>
      </w:pPr>
      <w:r>
        <w:rPr>
          <w:b w:val="0"/>
          <w:i w:val="0"/>
        </w:rPr>
        <w:t xml:space="preserve">☐  </w:t>
      </w:r>
      <w:r>
        <w:rPr>
          <w:b/>
          <w:i w:val="0"/>
        </w:rPr>
        <w:t>PIC:</w:t>
      </w:r>
      <w:r>
        <w:rPr>
          <w:b w:val="0"/>
          <w:i w:val="0"/>
        </w:rPr>
        <w:t xml:space="preserve"> no aparece como ingreso; la ESE aparece como socio que ejecuta el control.</w:t>
      </w:r>
    </w:p>
    <w:p>
      <w:pPr>
        <w:ind w:left="454" w:hanging="340"/>
      </w:pPr>
      <w:r>
        <w:rPr>
          <w:b w:val="0"/>
          <w:i w:val="0"/>
        </w:rPr>
        <w:t xml:space="preserve">☐  </w:t>
      </w:r>
      <w:r>
        <w:rPr>
          <w:b/>
          <w:i w:val="0"/>
        </w:rPr>
        <w:t>Datos por comuna:</w:t>
      </w:r>
      <w:r>
        <w:rPr>
          <w:b w:val="0"/>
          <w:i w:val="0"/>
        </w:rPr>
        <w:t xml:space="preserve"> aparecen en Recursos y en Socios (secretarías) como dependencia.</w:t>
      </w:r>
    </w:p>
    <w:p>
      <w:pPr>
        <w:ind w:left="454" w:hanging="340"/>
      </w:pPr>
      <w:r>
        <w:rPr>
          <w:b w:val="0"/>
          <w:i w:val="0"/>
        </w:rPr>
        <w:t xml:space="preserve">☐  </w:t>
      </w:r>
      <w:r>
        <w:rPr>
          <w:b/>
          <w:i w:val="0"/>
        </w:rPr>
        <w:t>Actividades</w:t>
      </w:r>
      <w:r>
        <w:rPr>
          <w:b w:val="0"/>
          <w:i w:val="0"/>
        </w:rPr>
        <w:t xml:space="preserve"> cubren lo técnico, la validación, la capacitación, la venta y la gobernanza de datos.</w:t>
      </w:r>
    </w:p>
    <w:p>
      <w:pPr>
        <w:ind w:left="454" w:hanging="340"/>
      </w:pPr>
      <w:r>
        <w:rPr>
          <w:b w:val="0"/>
          <w:i w:val="0"/>
        </w:rPr>
        <w:t xml:space="preserve">☐  </w:t>
      </w:r>
      <w:r>
        <w:rPr>
          <w:b/>
          <w:i w:val="0"/>
        </w:rPr>
        <w:t>Costos</w:t>
      </w:r>
      <w:r>
        <w:rPr>
          <w:b w:val="0"/>
          <w:i w:val="0"/>
        </w:rPr>
        <w:t xml:space="preserve"> incluyen personal y desplazamientos, no solo "$0".</w:t>
      </w:r>
    </w:p>
    <w:p>
      <w:pPr>
        <w:ind w:left="454" w:hanging="340"/>
      </w:pPr>
      <w:r>
        <w:rPr>
          <w:b w:val="0"/>
          <w:i w:val="0"/>
        </w:rPr>
        <w:t>☐  Ninguna frase dice que AedesAlert es más preciso que DengueIA ni que "previene" el dengue.</w:t>
      </w:r>
    </w:p>
    <w:p>
      <w:pPr>
        <w:ind w:left="454" w:hanging="340"/>
      </w:pPr>
      <w:r>
        <w:rPr>
          <w:b w:val="0"/>
          <w:i w:val="0"/>
        </w:rPr>
        <w:t>☐  Toda cifra del lienzo está en §12 (y el precio por municipio dice "a validar").</w:t>
      </w:r>
    </w:p>
    <w:p>
      <w:pPr>
        <w:ind w:left="454" w:hanging="340"/>
      </w:pPr>
      <w:r>
        <w:rPr>
          <w:b w:val="0"/>
          <w:i w:val="0"/>
        </w:rPr>
        <w:t>☐  Si cambiaste algo, actualizaste las diapositivas 6 a 10 de la escaleta.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80"/>
    </w:pPr>
    <w:rPr>
      <w:rFonts w:ascii="Times New Roman" w:hAnsi="Times New Roman" w:cs="Times New Roman" w:eastAsia="Times New Roman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="Times New Roman" w:hAnsi="Times New Roman" w:cs="Times New Roman" w:eastAsia="Times New Roman"/>
      <w:b/>
      <w:bCs/>
      <w:i w:val="0"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="Times New Roman" w:hAnsi="Times New Roman" w:cs="Times New Roman" w:eastAsia="Times New Roman"/>
      <w:b/>
      <w:bCs/>
      <w:i w:val="0"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20"/>
      <w:outlineLvl w:val="2"/>
    </w:pPr>
    <w:rPr>
      <w:rFonts w:ascii="Times New Roman" w:hAnsi="Times New Roman" w:cs="Times New Roman" w:eastAsia="Times New Roman"/>
      <w:b/>
      <w:bCs/>
      <w:i w:val="0"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40" w:lineRule="auto" w:before="240"/>
      <w:contextualSpacing/>
    </w:pPr>
    <w:rPr>
      <w:rFonts w:ascii="Times New Roman" w:hAnsi="Times New Roman" w:cs="Times New Roman" w:eastAsia="Times New Roman"/>
      <w:b/>
      <w:i w:val="0"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line="276" w:lineRule="auto" w:after="40"/>
      <w:contextualSpacing/>
    </w:pPr>
    <w:rPr>
      <w:rFonts w:ascii="Times New Roman" w:hAnsi="Times New Roman" w:cs="Times New Roman" w:eastAsia="Times New Roman"/>
      <w:color w:val="000000"/>
      <w:sz w:val="24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line="276" w:lineRule="auto" w:after="40"/>
      <w:contextualSpacing/>
    </w:pPr>
    <w:rPr>
      <w:rFonts w:ascii="Times New Roman" w:hAnsi="Times New Roman" w:cs="Times New Roman" w:eastAsia="Times New Roman"/>
      <w:color w:val="000000"/>
      <w:sz w:val="24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