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UNIVERSIDAD COOPERATIVA DE COLOMBIA</w:t>
      </w:r>
    </w:p>
    <w:p>
      <w:pPr>
        <w:jc w:val="center"/>
      </w:pPr>
      <w:r>
        <w:rPr/>
        <w:t>Sede Cali · Facultad de Ingeniería · Programa de Ingeniería de Sistemas</w:t>
      </w:r>
    </w:p>
    <w:p/>
    <w:p/>
    <w:p/>
    <w:p/>
    <w:p/>
    <w:p>
      <w:pPr>
        <w:jc w:val="center"/>
      </w:pPr>
      <w:r>
        <w:rPr>
          <w:b/>
        </w:rPr>
        <w:t>Características e indicadores del sector económico: salud y HealthTech en el Valle del Cauca</w:t>
      </w:r>
    </w:p>
    <w:p>
      <w:pPr>
        <w:jc w:val="center"/>
      </w:pPr>
      <w:r>
        <w:rPr>
          <w:i/>
        </w:rPr>
        <w:t>Actividad de Aprendizaje 3 — Idea de proyecto de grado: AedesAlert Cali</w:t>
      </w:r>
    </w:p>
    <w:p/>
    <w:p/>
    <w:p/>
    <w:p/>
    <w:p/>
    <w:p>
      <w:pPr>
        <w:jc w:val="center"/>
      </w:pPr>
      <w:r>
        <w:rPr/>
        <w:t>Juan Diego Nieto</w:t>
      </w:r>
    </w:p>
    <w:p/>
    <w:p/>
    <w:p>
      <w:pPr>
        <w:jc w:val="center"/>
      </w:pPr>
      <w:r>
        <w:rPr/>
        <w:t>Curso: Ideación, Emprendimiento y Desarrollo Tecnológico</w:t>
      </w:r>
    </w:p>
    <w:p>
      <w:pPr>
        <w:jc w:val="center"/>
      </w:pPr>
      <w:r>
        <w:rPr/>
        <w:t>Docente: ______________________________</w:t>
      </w:r>
    </w:p>
    <w:p/>
    <w:p/>
    <w:p/>
    <w:p/>
    <w:p/>
    <w:p>
      <w:pPr>
        <w:jc w:val="center"/>
      </w:pPr>
      <w:r>
        <w:rPr/>
        <w:t>Santiago de Cali</w:t>
      </w:r>
    </w:p>
    <w:p>
      <w:pPr>
        <w:jc w:val="center"/>
      </w:pPr>
      <w:r>
        <w:rPr/>
        <w:t>Octubre de 2026</w:t>
      </w:r>
      <w:r>
        <w:br w:type="page"/>
      </w:r>
    </w:p>
    <w:p>
      <w:pPr>
        <w:pStyle w:val="Heading1"/>
      </w:pPr>
      <w:r>
        <w:t>1. Introducción</w:t>
      </w:r>
    </w:p>
    <w:p>
      <w:pPr>
        <w:ind w:firstLine="720"/>
        <w:jc w:val="both"/>
      </w:pPr>
      <w:r>
        <w:rPr/>
        <w:t>Este informe describe las características y los principales indicadores del sector económico en el que se ubica AedesAlert Cali, la idea de negocio derivada del proyecto de grado «Modelo predictivo basado en inteligencia artificial para la identificación de zonas de riesgo de propagación del dengue en Santiago de Cali». AedesAlert Cali es un modelo de inteligencia artificial (IA) que estima cada semana el riesgo de dengue por comuna con los datos abiertos del Sistema de Vigilancia en Salud Pública (SIVIGILA) y variables climáticas de NASA POWER, y lo muestra en un mapa tipo semáforo. Se plantea como un complemento abierto y replicable de DengueIA, la herramienta de pronóstico del dengue que desarrolló en Cali la Universidad Icesi con la Secretaría de Salud del Distrito (Universidad Icesi, 2026). El documento delimita el sector, describe sus características, presenta y analiza sus indicadores, y cierra con su relación con la idea. Todas las fuentes se consultaron el 2 de octubre de 2026.</w:t>
      </w:r>
    </w:p>
    <w:p>
      <w:pPr>
        <w:pStyle w:val="Heading1"/>
      </w:pPr>
      <w:r>
        <w:t>2. Delimitación del sector</w:t>
      </w:r>
    </w:p>
    <w:p>
      <w:pPr>
        <w:ind w:firstLine="720"/>
        <w:jc w:val="both"/>
      </w:pPr>
      <w:r>
        <w:rPr/>
        <w:t>AedesAlert Cali pertenece al sector salud, en el segmento HealthTech o salud digital, y se apoya en el sector de tecnologías de la información (TI). En la clasificación del Departamento Administrativo Nacional de Estadística, la actividad corresponde a «Actividades de atención de la salud humana y de servicios sociales», que las cuentas nacionales agrupan con «Administración pública y defensa» y «Educación» (Departamento Administrativo Nacional de Estadística [DANE], 2026c). En el Valle del Cauca, el sector se organiza en el Clúster de Excelencia Clínica de la Cámara de Comercio de Cali, que tiene una línea llamada «Modelos de negocio HealthTech» (Cámara de Comercio de Cali, 2025a).</w:t>
      </w:r>
    </w:p>
    <w:p>
      <w:pPr>
        <w:ind w:firstLine="720"/>
        <w:jc w:val="both"/>
      </w:pPr>
      <w:r>
        <w:rPr/>
        <w:t>La idea no compite en la atención clínica. Su primer cliente natural es la salud pública, es decir, las secretarías de salud, lo que la ubica también en el mercado GovTech (tecnología para entidades públicas); los usuarios secundarios son las IPS, las EPS y los laboratorios, que podrían usar las alertas para planear la demanda. Se eligió este sector porque el problema que atiende la idea, el dengue, es un problema de salud pública medido y priorizado en Cali, y porque la solución es un producto de datos y software que depende de las capacidades TI de la región.</w:t>
      </w:r>
    </w:p>
    <w:p>
      <w:pPr>
        <w:pStyle w:val="Heading1"/>
      </w:pPr>
      <w:r>
        <w:t>3. Características del sector</w:t>
      </w:r>
    </w:p>
    <w:p>
      <w:pPr>
        <w:pStyle w:val="Heading2"/>
      </w:pPr>
      <w:r>
        <w:t>3.1 Estructura y actores</w:t>
      </w:r>
    </w:p>
    <w:p>
      <w:pPr>
        <w:ind w:firstLine="720"/>
        <w:jc w:val="both"/>
      </w:pPr>
      <w:r>
        <w:rPr/>
        <w:t>El sector opera dentro del Sistema General de Seguridad Social en Salud, con aseguradoras (EPS), prestadores públicos (Empresas Sociales del Estado) y privados (IPS), y autoridades sanitarias: el Ministerio de Salud y Protección Social, el Instituto Nacional de Salud (INS), que administra el SIVIGILA, y las secretarías departamentales y distritales. La salud es un derecho fundamental desde la Ley Estatutaria 1751 de 2015 (Ministerio de Salud y Protección Social [MinSalud], s. f.).</w:t>
      </w:r>
    </w:p>
    <w:p>
      <w:pPr>
        <w:ind w:firstLine="720"/>
        <w:jc w:val="both"/>
      </w:pPr>
      <w:r>
        <w:rPr/>
        <w:t>En la práctica hay dos mercados. El primero es la atención clínica, en buena parte privada, que en el Valle reúne 528 empresas en el Clúster de Excelencia Clínica (clínicas y hospitales, farmacéutica, prótesis e implantes y centros especializados, entre otras), con foco en turismo de salud e investigación (Cámara de Comercio de Cali, 2025a). El segundo es la salud pública, financiada con presupuesto público y operada por las secretarías de salud. AedesAlert entra por este segundo mercado: es un producto GovTech de salud pública, no un servicio clínico. Además, la Secretaría de Salud del Valle reporta una cartera acumulada de más de $6 billones con la red pública y privada, en un contexto de crisis de las EPS (Consultor Salud, 2026a), lo que limita la capacidad de compra de los prestadores y hace que el comprador más probable de una herramienta de vigilancia sea el sector público.</w:t>
      </w:r>
    </w:p>
    <w:p>
      <w:pPr>
        <w:ind w:firstLine="720"/>
        <w:jc w:val="both"/>
      </w:pPr>
      <w:r>
        <w:rPr/>
        <w:t>Para la idea, los actores clave son: las autoridades nacionales (Ministerio de Salud e INS), que fijan las reglas de vigilancia y publican los datos; los clientes potenciales, que son la Secretaría de Salud Pública de Cali, la Secretaría Departamental de Salud del Valle y las de los otros ocho municipios con riesgo muy alto de dengue (Gobernación del Valle del Cauca, 2024); la solución existente, DengueIA, desarrollada por la Universidad Icesi con la Secretaría de Salud de Cali, la Universidad del Valle, el DATIC, el DAGMA y Cubo Social, con la Fundación Rockefeller como financiador principal (Universidad Icesi, 2026), y los articuladores: la Cámara de Comercio de Cali y NIDO, el Distrito de Innovación e IA del Valle, impulsado por la Cámara, la Gobernación, la Alcaldía y Comfandi (Cámara de Comercio de Cali, 2026).</w:t>
      </w:r>
    </w:p>
    <w:p>
      <w:pPr>
        <w:pStyle w:val="Heading2"/>
      </w:pPr>
      <w:r>
        <w:t>3.2 Tendencias</w:t>
      </w:r>
    </w:p>
    <w:p>
      <w:pPr>
        <w:ind w:firstLine="720"/>
        <w:jc w:val="both"/>
      </w:pPr>
      <w:r>
        <w:rPr/>
        <w:t>Se identifican cuatro tendencias. Primera, HealthTech gana peso: el segmento pasó del 6,3 % al 9 % de las startups entre ediciones del Colombia Tech Report (Cámara de Comercio de Cali, 2025c; BBVA Spark, 2026); como las ediciones usan muestras distintas, se lee como tendencia y no como tasa exacta. Segunda, la IA ya se usa para vigilar el dengue en Cali: DengueIA pronosticó los casos con hasta tres semanas de antelación y una efectividad reportada del 93 %, en 174 zonas de 1 km² con cerca de 2,2 millones de habitantes; cerró su primera fase en septiembre de 2026, y su segunda etapa se enfoca en la apropiación institucional, en medir su contribución real y en la gobernanza de los datos (Universidad Icesi, 2026).</w:t>
      </w:r>
    </w:p>
    <w:p>
      <w:pPr>
        <w:ind w:firstLine="720"/>
        <w:jc w:val="both"/>
      </w:pPr>
      <w:r>
        <w:rPr/>
        <w:t>Tercera, el sector se digitaliza por norma: la Ley 2015 de 2020 creó la historia clínica electrónica interoperable, la Resolución 866 de 2021 fijó sus estándares, la Resolución 1888 de 2025 adoptó el Resumen Digital de Atención y en 2026 se expidió la Circular Externa 019 sobre su implementación (MinSalud, s. f.). Cuarta, la IA y los datos son prioridad de política: la Cámara de Comercio de Cali priorizó en 2025 la línea «Modelos de negocio HealthTech» (Cámara de Comercio de Cali, 2025c), y el CONPES 4144 de 2025, Política Nacional de Inteligencia Artificial 2025-2030, incluye los ejes de datos e infraestructura y de uso y adopción de la IA, con la salud entre los sectores estratégicos (Departamento Nacional de Planeación [DNP], 2025; Ministerio de Tecnologías de la Información y las Comunicaciones [MinTIC], 2025).</w:t>
      </w:r>
    </w:p>
    <w:p>
      <w:pPr>
        <w:pStyle w:val="Heading2"/>
      </w:pPr>
      <w:r>
        <w:t>3.3 Marco regulatorio</w:t>
      </w:r>
    </w:p>
    <w:p>
      <w:pPr>
        <w:ind w:firstLine="720"/>
        <w:jc w:val="both"/>
      </w:pPr>
      <w:r>
        <w:rPr/>
        <w:t>La Ley Estatutaria 1581 de 2012 define los datos relativos a la salud como datos sensibles (art. 5) y permite tratarlos con finalidad histórica, estadística o científica si se suprime la identidad de los titulares (art. 6, lit. e) (Congreso de la República de Colombia, 2012). Por eso AedesAlert debe trabajar solo con datos agregados y anonimizados, como casos por comuna y por semana. La Circular Externa 002 de 2024 de la Superintendencia de Industria y Comercio (SIC) fija lineamientos para tratar datos personales en sistemas de IA: principio de precaución, gestión de riesgos y calidad del dato (CERLATAM, 2024); aunque el modelo no use datos personales, conviene documentar su gestión de riesgos.</w:t>
      </w:r>
    </w:p>
    <w:p>
      <w:pPr>
        <w:ind w:firstLine="720"/>
        <w:jc w:val="both"/>
      </w:pPr>
      <w:r>
        <w:rPr/>
        <w:t>Dos normas habilitan el uso de los datos. La Ley 1712 de 2014 define los datos abiertos como datos puestos a disposición «de forma libre y sin restricciones» (Congreso de la República de Colombia, 2014), lo que permite reutilizar los datos de SIVIGILA y pedir datos por derecho de petición. El Decreto 3518 de 2006, compilado en el Decreto 780 de 2016, crea y reglamenta el SIVIGILA, fuente oficial de los casos de dengue (INVIMA, s. f.). Por último, a agosto de 2026 Colombia no tenía una ley general de inteligencia artificial y los proyectos seguían en trámite (Chía, 2026); uno de ellos, radicado en la Cámara en julio de 2026, clasifica los sistemas de IA por niveles de riesgo y menciona la salud (Cámara de Representantes, 2026). Si se aprueba, una herramienta de apoyo a decisiones de salud pública podría tener más obligaciones, así que es prudente diseñarla con transparencia desde el inicio.</w:t>
      </w:r>
    </w:p>
    <w:p>
      <w:pPr>
        <w:pStyle w:val="Heading1"/>
      </w:pPr>
      <w:r>
        <w:t>4. Indicadores del sector</w:t>
      </w:r>
    </w:p>
    <w:p>
      <w:pPr>
        <w:ind w:firstLine="720"/>
        <w:jc w:val="both"/>
      </w:pPr>
      <w:r>
        <w:rPr/>
        <w:t>La Tabla 1 reúne diecinueve indicadores en cuatro temas: tamaño y crecimiento, gasto en salud, base empresarial y digital, y el dengue como problema de salud pública. Provienen de fuentes oficiales (DANE, INS, ministerios, Gobernación del Valle y la base de gasto en salud de la Organización Mundial de la Salud publicada por el Banco Mundial) y de fuentes especializadas. La Tabla 2 recoge cuatro cifras de contexto de fuentes secundarias, que se leen con más cautela.</w:t>
      </w:r>
    </w:p>
    <w:p>
      <w:pPr>
        <w:keepNext/>
        <w:spacing w:before="240"/>
      </w:pPr>
      <w:r>
        <w:rPr>
          <w:b/>
        </w:rPr>
        <w:t>Tabla 1</w:t>
      </w:r>
    </w:p>
    <w:p>
      <w:pPr>
        <w:keepNext/>
        <w:spacing w:after="120"/>
      </w:pPr>
      <w:r>
        <w:rPr>
          <w:i/>
        </w:rPr>
        <w:t>Indicadores del sector salud y HealthTech en Colombia, el Valle del Cauca y Cali</w:t>
      </w:r>
    </w:p>
    <w:tbl>
      <w:tblPr>
        <w:tblW w:type="dxa" w:w="9355"/>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510"/>
        <w:gridCol w:w="3742"/>
        <w:gridCol w:w="1928"/>
        <w:gridCol w:w="1191"/>
        <w:gridCol w:w="1984"/>
      </w:tblGrid>
      <w:tr>
        <w:trPr>
          <w:tblHeader/>
        </w:trPr>
        <w:tc>
          <w:tcPr>
            <w:tcW w:type="dxa" w:w="510"/>
            <w:shd w:val="clear" w:color="auto" w:fill="D9D9D9"/>
            <w:vAlign w:val="center"/>
          </w:tcPr>
          <w:p>
            <w:pPr>
              <w:spacing w:line="240" w:lineRule="auto"/>
              <w:ind w:firstLine="0"/>
              <w:jc w:val="center"/>
            </w:pPr>
            <w:r>
              <w:rPr>
                <w:b/>
                <w:sz w:val="20"/>
              </w:rPr>
              <w:t>N.º</w:t>
            </w:r>
          </w:p>
        </w:tc>
        <w:tc>
          <w:tcPr>
            <w:tcW w:type="dxa" w:w="3742"/>
            <w:shd w:val="clear" w:color="auto" w:fill="D9D9D9"/>
            <w:vAlign w:val="center"/>
          </w:tcPr>
          <w:p>
            <w:pPr>
              <w:spacing w:line="240" w:lineRule="auto"/>
              <w:ind w:firstLine="0"/>
              <w:jc w:val="center"/>
            </w:pPr>
            <w:r>
              <w:rPr>
                <w:b/>
                <w:sz w:val="20"/>
              </w:rPr>
              <w:t>Indicador</w:t>
            </w:r>
          </w:p>
        </w:tc>
        <w:tc>
          <w:tcPr>
            <w:tcW w:type="dxa" w:w="1928"/>
            <w:shd w:val="clear" w:color="auto" w:fill="D9D9D9"/>
            <w:vAlign w:val="center"/>
          </w:tcPr>
          <w:p>
            <w:pPr>
              <w:spacing w:line="240" w:lineRule="auto"/>
              <w:ind w:firstLine="0"/>
              <w:jc w:val="center"/>
            </w:pPr>
            <w:r>
              <w:rPr>
                <w:b/>
                <w:sz w:val="20"/>
              </w:rPr>
              <w:t>Valor</w:t>
            </w:r>
          </w:p>
        </w:tc>
        <w:tc>
          <w:tcPr>
            <w:tcW w:type="dxa" w:w="1191"/>
            <w:shd w:val="clear" w:color="auto" w:fill="D9D9D9"/>
            <w:vAlign w:val="center"/>
          </w:tcPr>
          <w:p>
            <w:pPr>
              <w:spacing w:line="240" w:lineRule="auto"/>
              <w:ind w:firstLine="0"/>
              <w:jc w:val="center"/>
            </w:pPr>
            <w:r>
              <w:rPr>
                <w:b/>
                <w:sz w:val="20"/>
              </w:rPr>
              <w:t>Año</w:t>
            </w:r>
          </w:p>
        </w:tc>
        <w:tc>
          <w:tcPr>
            <w:tcW w:type="dxa" w:w="1984"/>
            <w:shd w:val="clear" w:color="auto" w:fill="D9D9D9"/>
            <w:vAlign w:val="center"/>
          </w:tcPr>
          <w:p>
            <w:pPr>
              <w:spacing w:line="240" w:lineRule="auto"/>
              <w:ind w:firstLine="0"/>
              <w:jc w:val="center"/>
            </w:pPr>
            <w:r>
              <w:rPr>
                <w:b/>
                <w:sz w:val="20"/>
              </w:rPr>
              <w:t>Fuente</w:t>
            </w:r>
          </w:p>
        </w:tc>
      </w:tr>
      <w:tr>
        <w:trPr>
          <w:cantSplit/>
        </w:trPr>
        <w:tc>
          <w:tcPr>
            <w:tcW w:type="dxa" w:w="9355"/>
            <w:gridSpan w:val="5"/>
            <w:shd w:val="clear" w:color="auto" w:fill="F2F2F2"/>
          </w:tcPr>
          <w:p>
            <w:pPr>
              <w:keepNext/>
              <w:spacing w:line="240" w:lineRule="auto"/>
              <w:ind w:firstLine="0"/>
              <w:jc w:val="left"/>
            </w:pPr>
            <w:r>
              <w:rPr>
                <w:b/>
                <w:i/>
                <w:sz w:val="20"/>
              </w:rPr>
              <w:t>Tamaño y crecimiento de la economía y del sector</w:t>
            </w:r>
          </w:p>
        </w:tc>
      </w:tr>
      <w:tr>
        <w:trPr>
          <w:cantSplit/>
        </w:trPr>
        <w:tc>
          <w:tcPr>
            <w:tcW w:type="dxa" w:w="510"/>
            <w:vAlign w:val="top"/>
          </w:tcPr>
          <w:p>
            <w:pPr>
              <w:spacing w:line="240" w:lineRule="auto"/>
              <w:ind w:firstLine="0"/>
              <w:jc w:val="center"/>
            </w:pPr>
            <w:r>
              <w:rPr>
                <w:sz w:val="20"/>
              </w:rPr>
              <w:t>1</w:t>
            </w:r>
          </w:p>
        </w:tc>
        <w:tc>
          <w:tcPr>
            <w:tcW w:type="dxa" w:w="3742"/>
            <w:vAlign w:val="top"/>
          </w:tcPr>
          <w:p>
            <w:pPr>
              <w:spacing w:line="240" w:lineRule="auto"/>
              <w:ind w:firstLine="0"/>
              <w:jc w:val="left"/>
            </w:pPr>
            <w:r>
              <w:rPr>
                <w:sz w:val="20"/>
              </w:rPr>
              <w:t>Participación del Valle del Cauca en el PIB nacional (3.ª economía del país)</w:t>
            </w:r>
          </w:p>
        </w:tc>
        <w:tc>
          <w:tcPr>
            <w:tcW w:type="dxa" w:w="1928"/>
            <w:vAlign w:val="top"/>
          </w:tcPr>
          <w:p>
            <w:pPr>
              <w:spacing w:line="240" w:lineRule="auto"/>
              <w:ind w:firstLine="0"/>
              <w:jc w:val="left"/>
            </w:pPr>
            <w:r>
              <w:rPr>
                <w:b/>
                <w:sz w:val="20"/>
              </w:rPr>
              <w:t>Cerca del 9,8 %</w:t>
            </w:r>
          </w:p>
        </w:tc>
        <w:tc>
          <w:tcPr>
            <w:tcW w:type="dxa" w:w="1191"/>
            <w:vAlign w:val="top"/>
          </w:tcPr>
          <w:p>
            <w:pPr>
              <w:spacing w:line="240" w:lineRule="auto"/>
              <w:ind w:firstLine="0"/>
              <w:jc w:val="center"/>
            </w:pPr>
            <w:r>
              <w:rPr>
                <w:sz w:val="20"/>
              </w:rPr>
              <w:t>2025pr</w:t>
            </w:r>
          </w:p>
        </w:tc>
        <w:tc>
          <w:tcPr>
            <w:tcW w:type="dxa" w:w="1984"/>
            <w:vAlign w:val="top"/>
          </w:tcPr>
          <w:p>
            <w:pPr>
              <w:spacing w:line="240" w:lineRule="auto"/>
              <w:ind w:firstLine="0"/>
              <w:jc w:val="left"/>
            </w:pPr>
            <w:r>
              <w:rPr>
                <w:sz w:val="20"/>
              </w:rPr>
              <w:t>DANE (2026a)</w:t>
            </w:r>
          </w:p>
        </w:tc>
      </w:tr>
      <w:tr>
        <w:trPr>
          <w:cantSplit/>
        </w:trPr>
        <w:tc>
          <w:tcPr>
            <w:tcW w:type="dxa" w:w="510"/>
            <w:vAlign w:val="top"/>
          </w:tcPr>
          <w:p>
            <w:pPr>
              <w:spacing w:line="240" w:lineRule="auto"/>
              <w:ind w:firstLine="0"/>
              <w:jc w:val="center"/>
            </w:pPr>
            <w:r>
              <w:rPr>
                <w:sz w:val="20"/>
              </w:rPr>
              <w:t>2</w:t>
            </w:r>
          </w:p>
        </w:tc>
        <w:tc>
          <w:tcPr>
            <w:tcW w:type="dxa" w:w="3742"/>
            <w:vAlign w:val="top"/>
          </w:tcPr>
          <w:p>
            <w:pPr>
              <w:spacing w:line="240" w:lineRule="auto"/>
              <w:ind w:firstLine="0"/>
              <w:jc w:val="left"/>
            </w:pPr>
            <w:r>
              <w:rPr>
                <w:sz w:val="20"/>
              </w:rPr>
              <w:t>Crecimiento de la actividad económica (ITAED): Valle frente a Colombia</w:t>
            </w:r>
          </w:p>
        </w:tc>
        <w:tc>
          <w:tcPr>
            <w:tcW w:type="dxa" w:w="1928"/>
            <w:vAlign w:val="top"/>
          </w:tcPr>
          <w:p>
            <w:pPr>
              <w:spacing w:line="240" w:lineRule="auto"/>
              <w:ind w:firstLine="0"/>
              <w:jc w:val="left"/>
            </w:pPr>
            <w:r>
              <w:rPr>
                <w:b/>
                <w:sz w:val="20"/>
              </w:rPr>
              <w:t>2,9 % vs. 2,6 %</w:t>
            </w:r>
          </w:p>
        </w:tc>
        <w:tc>
          <w:tcPr>
            <w:tcW w:type="dxa" w:w="1191"/>
            <w:vAlign w:val="top"/>
          </w:tcPr>
          <w:p>
            <w:pPr>
              <w:spacing w:line="240" w:lineRule="auto"/>
              <w:ind w:firstLine="0"/>
              <w:jc w:val="center"/>
            </w:pPr>
            <w:r>
              <w:rPr>
                <w:sz w:val="20"/>
              </w:rPr>
              <w:t>2025pr</w:t>
            </w:r>
          </w:p>
        </w:tc>
        <w:tc>
          <w:tcPr>
            <w:tcW w:type="dxa" w:w="1984"/>
            <w:vAlign w:val="top"/>
          </w:tcPr>
          <w:p>
            <w:pPr>
              <w:spacing w:line="240" w:lineRule="auto"/>
              <w:ind w:firstLine="0"/>
              <w:jc w:val="left"/>
            </w:pPr>
            <w:r>
              <w:rPr>
                <w:sz w:val="20"/>
              </w:rPr>
              <w:t>DANE (2026b)</w:t>
            </w:r>
          </w:p>
        </w:tc>
      </w:tr>
      <w:tr>
        <w:trPr>
          <w:cantSplit/>
        </w:trPr>
        <w:tc>
          <w:tcPr>
            <w:tcW w:type="dxa" w:w="510"/>
            <w:vAlign w:val="top"/>
          </w:tcPr>
          <w:p>
            <w:pPr>
              <w:spacing w:line="240" w:lineRule="auto"/>
              <w:ind w:firstLine="0"/>
              <w:jc w:val="center"/>
            </w:pPr>
            <w:r>
              <w:rPr>
                <w:sz w:val="20"/>
              </w:rPr>
              <w:t>3</w:t>
            </w:r>
          </w:p>
        </w:tc>
        <w:tc>
          <w:tcPr>
            <w:tcW w:type="dxa" w:w="3742"/>
            <w:vAlign w:val="top"/>
          </w:tcPr>
          <w:p>
            <w:pPr>
              <w:spacing w:line="240" w:lineRule="auto"/>
              <w:ind w:firstLine="0"/>
              <w:jc w:val="left"/>
            </w:pPr>
            <w:r>
              <w:rPr>
                <w:sz w:val="20"/>
              </w:rPr>
              <w:t>Crecimiento del valor agregado de «Actividades de atención de la salud humana y de servicios sociales» en Colombia (volumen)</w:t>
            </w:r>
          </w:p>
        </w:tc>
        <w:tc>
          <w:tcPr>
            <w:tcW w:type="dxa" w:w="1928"/>
            <w:vAlign w:val="top"/>
          </w:tcPr>
          <w:p>
            <w:pPr>
              <w:spacing w:line="240" w:lineRule="auto"/>
              <w:ind w:firstLine="0"/>
              <w:jc w:val="left"/>
            </w:pPr>
            <w:r>
              <w:rPr>
                <w:b/>
                <w:sz w:val="20"/>
              </w:rPr>
              <w:t>2,5 % (PIB: 2,6 %)</w:t>
            </w:r>
          </w:p>
        </w:tc>
        <w:tc>
          <w:tcPr>
            <w:tcW w:type="dxa" w:w="1191"/>
            <w:vAlign w:val="top"/>
          </w:tcPr>
          <w:p>
            <w:pPr>
              <w:spacing w:line="240" w:lineRule="auto"/>
              <w:ind w:firstLine="0"/>
              <w:jc w:val="center"/>
            </w:pPr>
            <w:r>
              <w:rPr>
                <w:sz w:val="20"/>
              </w:rPr>
              <w:t>2025pr</w:t>
            </w:r>
          </w:p>
        </w:tc>
        <w:tc>
          <w:tcPr>
            <w:tcW w:type="dxa" w:w="1984"/>
            <w:vAlign w:val="top"/>
          </w:tcPr>
          <w:p>
            <w:pPr>
              <w:spacing w:line="240" w:lineRule="auto"/>
              <w:ind w:firstLine="0"/>
              <w:jc w:val="left"/>
            </w:pPr>
            <w:r>
              <w:rPr>
                <w:sz w:val="20"/>
              </w:rPr>
              <w:t>DANE (2026c)</w:t>
            </w:r>
          </w:p>
        </w:tc>
      </w:tr>
      <w:tr>
        <w:trPr>
          <w:cantSplit/>
        </w:trPr>
        <w:tc>
          <w:tcPr>
            <w:tcW w:type="dxa" w:w="510"/>
            <w:vAlign w:val="top"/>
          </w:tcPr>
          <w:p>
            <w:pPr>
              <w:spacing w:line="240" w:lineRule="auto"/>
              <w:ind w:firstLine="0"/>
              <w:jc w:val="center"/>
            </w:pPr>
            <w:r>
              <w:rPr>
                <w:sz w:val="20"/>
              </w:rPr>
              <w:t>4</w:t>
            </w:r>
          </w:p>
        </w:tc>
        <w:tc>
          <w:tcPr>
            <w:tcW w:type="dxa" w:w="3742"/>
            <w:vAlign w:val="top"/>
          </w:tcPr>
          <w:p>
            <w:pPr>
              <w:spacing w:line="240" w:lineRule="auto"/>
              <w:ind w:firstLine="0"/>
              <w:jc w:val="left"/>
            </w:pPr>
            <w:r>
              <w:rPr>
                <w:sz w:val="20"/>
              </w:rPr>
              <w:t>Crecimiento de «administración pública y defensa, educación y salud» en la región Pacífica (el Valle pesa el 71,8 % de la región)</w:t>
            </w:r>
          </w:p>
        </w:tc>
        <w:tc>
          <w:tcPr>
            <w:tcW w:type="dxa" w:w="1928"/>
            <w:vAlign w:val="top"/>
          </w:tcPr>
          <w:p>
            <w:pPr>
              <w:spacing w:line="240" w:lineRule="auto"/>
              <w:ind w:firstLine="0"/>
              <w:jc w:val="left"/>
            </w:pPr>
            <w:r>
              <w:rPr>
                <w:b/>
                <w:sz w:val="20"/>
              </w:rPr>
              <w:t>4,0 %</w:t>
            </w:r>
          </w:p>
        </w:tc>
        <w:tc>
          <w:tcPr>
            <w:tcW w:type="dxa" w:w="1191"/>
            <w:vAlign w:val="top"/>
          </w:tcPr>
          <w:p>
            <w:pPr>
              <w:spacing w:line="240" w:lineRule="auto"/>
              <w:ind w:firstLine="0"/>
              <w:jc w:val="center"/>
            </w:pPr>
            <w:r>
              <w:rPr>
                <w:sz w:val="20"/>
              </w:rPr>
              <w:t>2025pr</w:t>
            </w:r>
          </w:p>
        </w:tc>
        <w:tc>
          <w:tcPr>
            <w:tcW w:type="dxa" w:w="1984"/>
            <w:vAlign w:val="top"/>
          </w:tcPr>
          <w:p>
            <w:pPr>
              <w:spacing w:line="240" w:lineRule="auto"/>
              <w:ind w:firstLine="0"/>
              <w:jc w:val="left"/>
            </w:pPr>
            <w:r>
              <w:rPr>
                <w:sz w:val="20"/>
              </w:rPr>
              <w:t>DANE (2026a)</w:t>
            </w:r>
          </w:p>
        </w:tc>
      </w:tr>
      <w:tr>
        <w:trPr>
          <w:cantSplit/>
        </w:trPr>
        <w:tc>
          <w:tcPr>
            <w:tcW w:type="dxa" w:w="9355"/>
            <w:gridSpan w:val="5"/>
            <w:shd w:val="clear" w:color="auto" w:fill="F2F2F2"/>
          </w:tcPr>
          <w:p>
            <w:pPr>
              <w:keepNext/>
              <w:spacing w:line="240" w:lineRule="auto"/>
              <w:ind w:firstLine="0"/>
              <w:jc w:val="left"/>
            </w:pPr>
            <w:r>
              <w:rPr>
                <w:b/>
                <w:i/>
                <w:sz w:val="20"/>
              </w:rPr>
              <w:t>Gasto en salud</w:t>
            </w:r>
          </w:p>
        </w:tc>
      </w:tr>
      <w:tr>
        <w:trPr>
          <w:cantSplit/>
        </w:trPr>
        <w:tc>
          <w:tcPr>
            <w:tcW w:type="dxa" w:w="510"/>
            <w:vAlign w:val="top"/>
          </w:tcPr>
          <w:p>
            <w:pPr>
              <w:spacing w:line="240" w:lineRule="auto"/>
              <w:ind w:firstLine="0"/>
              <w:jc w:val="center"/>
            </w:pPr>
            <w:r>
              <w:rPr>
                <w:sz w:val="20"/>
              </w:rPr>
              <w:t>5</w:t>
            </w:r>
          </w:p>
        </w:tc>
        <w:tc>
          <w:tcPr>
            <w:tcW w:type="dxa" w:w="3742"/>
            <w:vAlign w:val="top"/>
          </w:tcPr>
          <w:p>
            <w:pPr>
              <w:spacing w:line="240" w:lineRule="auto"/>
              <w:ind w:firstLine="0"/>
              <w:jc w:val="left"/>
            </w:pPr>
            <w:r>
              <w:rPr>
                <w:sz w:val="20"/>
              </w:rPr>
              <w:t>Gasto corriente en salud de Colombia como porcentaje del PIB</w:t>
            </w:r>
          </w:p>
        </w:tc>
        <w:tc>
          <w:tcPr>
            <w:tcW w:type="dxa" w:w="1928"/>
            <w:vAlign w:val="top"/>
          </w:tcPr>
          <w:p>
            <w:pPr>
              <w:spacing w:line="240" w:lineRule="auto"/>
              <w:ind w:firstLine="0"/>
              <w:jc w:val="left"/>
            </w:pPr>
            <w:r>
              <w:rPr>
                <w:b/>
                <w:sz w:val="20"/>
              </w:rPr>
              <w:t>8,14 %</w:t>
            </w:r>
          </w:p>
        </w:tc>
        <w:tc>
          <w:tcPr>
            <w:tcW w:type="dxa" w:w="1191"/>
            <w:vAlign w:val="top"/>
          </w:tcPr>
          <w:p>
            <w:pPr>
              <w:spacing w:line="240" w:lineRule="auto"/>
              <w:ind w:firstLine="0"/>
              <w:jc w:val="center"/>
            </w:pPr>
            <w:r>
              <w:rPr>
                <w:sz w:val="20"/>
              </w:rPr>
              <w:t>2024</w:t>
            </w:r>
          </w:p>
        </w:tc>
        <w:tc>
          <w:tcPr>
            <w:tcW w:type="dxa" w:w="1984"/>
            <w:vAlign w:val="top"/>
          </w:tcPr>
          <w:p>
            <w:pPr>
              <w:spacing w:line="240" w:lineRule="auto"/>
              <w:ind w:firstLine="0"/>
              <w:jc w:val="left"/>
            </w:pPr>
            <w:r>
              <w:rPr>
                <w:sz w:val="20"/>
              </w:rPr>
              <w:t>Banco Mundial (2026a)</w:t>
            </w:r>
          </w:p>
        </w:tc>
      </w:tr>
      <w:tr>
        <w:trPr>
          <w:cantSplit/>
        </w:trPr>
        <w:tc>
          <w:tcPr>
            <w:tcW w:type="dxa" w:w="510"/>
            <w:vAlign w:val="top"/>
          </w:tcPr>
          <w:p>
            <w:pPr>
              <w:spacing w:line="240" w:lineRule="auto"/>
              <w:ind w:firstLine="0"/>
              <w:jc w:val="center"/>
            </w:pPr>
            <w:r>
              <w:rPr>
                <w:sz w:val="20"/>
              </w:rPr>
              <w:t>6</w:t>
            </w:r>
          </w:p>
        </w:tc>
        <w:tc>
          <w:tcPr>
            <w:tcW w:type="dxa" w:w="3742"/>
            <w:vAlign w:val="top"/>
          </w:tcPr>
          <w:p>
            <w:pPr>
              <w:spacing w:line="240" w:lineRule="auto"/>
              <w:ind w:firstLine="0"/>
              <w:jc w:val="left"/>
            </w:pPr>
            <w:r>
              <w:rPr>
                <w:sz w:val="20"/>
              </w:rPr>
              <w:t>Gasto corriente en salud per cápita de Colombia (USD corrientes)</w:t>
            </w:r>
          </w:p>
        </w:tc>
        <w:tc>
          <w:tcPr>
            <w:tcW w:type="dxa" w:w="1928"/>
            <w:vAlign w:val="top"/>
          </w:tcPr>
          <w:p>
            <w:pPr>
              <w:spacing w:line="240" w:lineRule="auto"/>
              <w:ind w:firstLine="0"/>
              <w:jc w:val="left"/>
            </w:pPr>
            <w:r>
              <w:rPr>
                <w:b/>
                <w:sz w:val="20"/>
              </w:rPr>
              <w:t>USD 644,31</w:t>
            </w:r>
          </w:p>
        </w:tc>
        <w:tc>
          <w:tcPr>
            <w:tcW w:type="dxa" w:w="1191"/>
            <w:vAlign w:val="top"/>
          </w:tcPr>
          <w:p>
            <w:pPr>
              <w:spacing w:line="240" w:lineRule="auto"/>
              <w:ind w:firstLine="0"/>
              <w:jc w:val="center"/>
            </w:pPr>
            <w:r>
              <w:rPr>
                <w:sz w:val="20"/>
              </w:rPr>
              <w:t>2024</w:t>
            </w:r>
          </w:p>
        </w:tc>
        <w:tc>
          <w:tcPr>
            <w:tcW w:type="dxa" w:w="1984"/>
            <w:vAlign w:val="top"/>
          </w:tcPr>
          <w:p>
            <w:pPr>
              <w:spacing w:line="240" w:lineRule="auto"/>
              <w:ind w:firstLine="0"/>
              <w:jc w:val="left"/>
            </w:pPr>
            <w:r>
              <w:rPr>
                <w:sz w:val="20"/>
              </w:rPr>
              <w:t>Banco Mundial (2026b)</w:t>
            </w:r>
          </w:p>
        </w:tc>
      </w:tr>
      <w:tr>
        <w:trPr>
          <w:cantSplit/>
        </w:trPr>
        <w:tc>
          <w:tcPr>
            <w:tcW w:type="dxa" w:w="510"/>
            <w:vAlign w:val="top"/>
          </w:tcPr>
          <w:p>
            <w:pPr>
              <w:spacing w:line="240" w:lineRule="auto"/>
              <w:ind w:firstLine="0"/>
              <w:jc w:val="center"/>
            </w:pPr>
            <w:r>
              <w:rPr>
                <w:sz w:val="20"/>
              </w:rPr>
              <w:t>7</w:t>
            </w:r>
          </w:p>
        </w:tc>
        <w:tc>
          <w:tcPr>
            <w:tcW w:type="dxa" w:w="3742"/>
            <w:vAlign w:val="top"/>
          </w:tcPr>
          <w:p>
            <w:pPr>
              <w:spacing w:line="240" w:lineRule="auto"/>
              <w:ind w:firstLine="0"/>
              <w:jc w:val="left"/>
            </w:pPr>
            <w:r>
              <w:rPr>
                <w:sz w:val="20"/>
              </w:rPr>
              <w:t>Rubro «Vigilancia en Salud Pública y fortalecimiento de los laboratorios en salud pública» del Plan Financiero Territorial de Salud de Cali</w:t>
            </w:r>
          </w:p>
        </w:tc>
        <w:tc>
          <w:tcPr>
            <w:tcW w:type="dxa" w:w="1928"/>
            <w:vAlign w:val="top"/>
          </w:tcPr>
          <w:p>
            <w:pPr>
              <w:spacing w:line="240" w:lineRule="auto"/>
              <w:ind w:firstLine="0"/>
              <w:jc w:val="left"/>
            </w:pPr>
            <w:r>
              <w:rPr>
                <w:b/>
                <w:sz w:val="20"/>
              </w:rPr>
              <w:t>$3.412 millones</w:t>
            </w:r>
          </w:p>
        </w:tc>
        <w:tc>
          <w:tcPr>
            <w:tcW w:type="dxa" w:w="1191"/>
            <w:vAlign w:val="top"/>
          </w:tcPr>
          <w:p>
            <w:pPr>
              <w:spacing w:line="240" w:lineRule="auto"/>
              <w:ind w:firstLine="0"/>
              <w:jc w:val="center"/>
            </w:pPr>
            <w:r>
              <w:rPr>
                <w:sz w:val="20"/>
              </w:rPr>
              <w:t>2026</w:t>
            </w:r>
          </w:p>
        </w:tc>
        <w:tc>
          <w:tcPr>
            <w:tcW w:type="dxa" w:w="1984"/>
            <w:vAlign w:val="top"/>
          </w:tcPr>
          <w:p>
            <w:pPr>
              <w:spacing w:line="240" w:lineRule="auto"/>
              <w:ind w:firstLine="0"/>
              <w:jc w:val="left"/>
            </w:pPr>
            <w:r>
              <w:rPr>
                <w:sz w:val="20"/>
              </w:rPr>
              <w:t>MinSalud y MinHacienda (2025)</w:t>
            </w:r>
          </w:p>
        </w:tc>
      </w:tr>
      <w:tr>
        <w:trPr>
          <w:cantSplit/>
        </w:trPr>
        <w:tc>
          <w:tcPr>
            <w:tcW w:type="dxa" w:w="9355"/>
            <w:gridSpan w:val="5"/>
            <w:shd w:val="clear" w:color="auto" w:fill="F2F2F2"/>
          </w:tcPr>
          <w:p>
            <w:pPr>
              <w:keepNext/>
              <w:spacing w:line="240" w:lineRule="auto"/>
              <w:ind w:firstLine="0"/>
              <w:jc w:val="left"/>
            </w:pPr>
            <w:r>
              <w:rPr>
                <w:b/>
                <w:i/>
                <w:sz w:val="20"/>
              </w:rPr>
              <w:t>Empresas, empleo TIC, madurez digital y ecosistema</w:t>
            </w:r>
          </w:p>
        </w:tc>
      </w:tr>
      <w:tr>
        <w:trPr>
          <w:cantSplit/>
        </w:trPr>
        <w:tc>
          <w:tcPr>
            <w:tcW w:type="dxa" w:w="510"/>
            <w:vAlign w:val="top"/>
          </w:tcPr>
          <w:p>
            <w:pPr>
              <w:spacing w:line="240" w:lineRule="auto"/>
              <w:ind w:firstLine="0"/>
              <w:jc w:val="center"/>
            </w:pPr>
            <w:r>
              <w:rPr>
                <w:sz w:val="20"/>
              </w:rPr>
              <w:t>8</w:t>
            </w:r>
          </w:p>
        </w:tc>
        <w:tc>
          <w:tcPr>
            <w:tcW w:type="dxa" w:w="3742"/>
            <w:vAlign w:val="top"/>
          </w:tcPr>
          <w:p>
            <w:pPr>
              <w:spacing w:line="240" w:lineRule="auto"/>
              <w:ind w:firstLine="0"/>
              <w:jc w:val="left"/>
            </w:pPr>
            <w:r>
              <w:rPr>
                <w:sz w:val="20"/>
              </w:rPr>
              <w:t>Empresas del Clúster de Excelencia Clínica del Valle</w:t>
            </w:r>
          </w:p>
        </w:tc>
        <w:tc>
          <w:tcPr>
            <w:tcW w:type="dxa" w:w="1928"/>
            <w:vAlign w:val="top"/>
          </w:tcPr>
          <w:p>
            <w:pPr>
              <w:spacing w:line="240" w:lineRule="auto"/>
              <w:ind w:firstLine="0"/>
              <w:jc w:val="left"/>
            </w:pPr>
            <w:r>
              <w:rPr>
                <w:b/>
                <w:sz w:val="20"/>
              </w:rPr>
              <w:t>528</w:t>
            </w:r>
          </w:p>
        </w:tc>
        <w:tc>
          <w:tcPr>
            <w:tcW w:type="dxa" w:w="1191"/>
            <w:vAlign w:val="top"/>
          </w:tcPr>
          <w:p>
            <w:pPr>
              <w:spacing w:line="240" w:lineRule="auto"/>
              <w:ind w:firstLine="0"/>
              <w:jc w:val="center"/>
            </w:pPr>
            <w:r>
              <w:rPr>
                <w:sz w:val="20"/>
              </w:rPr>
              <w:t>2023</w:t>
            </w:r>
          </w:p>
        </w:tc>
        <w:tc>
          <w:tcPr>
            <w:tcW w:type="dxa" w:w="1984"/>
            <w:vAlign w:val="top"/>
          </w:tcPr>
          <w:p>
            <w:pPr>
              <w:spacing w:line="240" w:lineRule="auto"/>
              <w:ind w:firstLine="0"/>
              <w:jc w:val="left"/>
            </w:pPr>
            <w:r>
              <w:rPr>
                <w:sz w:val="20"/>
              </w:rPr>
              <w:t>Cámara de Comercio de Cali (2025a)</w:t>
            </w:r>
          </w:p>
        </w:tc>
      </w:tr>
      <w:tr>
        <w:trPr>
          <w:cantSplit/>
        </w:trPr>
        <w:tc>
          <w:tcPr>
            <w:tcW w:type="dxa" w:w="510"/>
            <w:vAlign w:val="top"/>
          </w:tcPr>
          <w:p>
            <w:pPr>
              <w:spacing w:line="240" w:lineRule="auto"/>
              <w:ind w:firstLine="0"/>
              <w:jc w:val="center"/>
            </w:pPr>
            <w:r>
              <w:rPr>
                <w:sz w:val="20"/>
              </w:rPr>
              <w:t>9</w:t>
            </w:r>
          </w:p>
        </w:tc>
        <w:tc>
          <w:tcPr>
            <w:tcW w:type="dxa" w:w="3742"/>
            <w:vAlign w:val="top"/>
          </w:tcPr>
          <w:p>
            <w:pPr>
              <w:spacing w:line="240" w:lineRule="auto"/>
              <w:ind w:firstLine="0"/>
              <w:jc w:val="left"/>
            </w:pPr>
            <w:r>
              <w:rPr>
                <w:sz w:val="20"/>
              </w:rPr>
              <w:t>Crecimiento promedio de los ocupados del sector TIC: Valle frente a Colombia</w:t>
            </w:r>
          </w:p>
        </w:tc>
        <w:tc>
          <w:tcPr>
            <w:tcW w:type="dxa" w:w="1928"/>
            <w:vAlign w:val="top"/>
          </w:tcPr>
          <w:p>
            <w:pPr>
              <w:spacing w:line="240" w:lineRule="auto"/>
              <w:ind w:firstLine="0"/>
              <w:jc w:val="left"/>
            </w:pPr>
            <w:r>
              <w:rPr>
                <w:b/>
                <w:sz w:val="20"/>
              </w:rPr>
              <w:t>7,2 % vs. 4,9 %</w:t>
            </w:r>
          </w:p>
        </w:tc>
        <w:tc>
          <w:tcPr>
            <w:tcW w:type="dxa" w:w="1191"/>
            <w:vAlign w:val="top"/>
          </w:tcPr>
          <w:p>
            <w:pPr>
              <w:spacing w:line="240" w:lineRule="auto"/>
              <w:ind w:firstLine="0"/>
              <w:jc w:val="center"/>
            </w:pPr>
            <w:r>
              <w:rPr>
                <w:sz w:val="20"/>
              </w:rPr>
              <w:t>2019-2023</w:t>
            </w:r>
          </w:p>
        </w:tc>
        <w:tc>
          <w:tcPr>
            <w:tcW w:type="dxa" w:w="1984"/>
            <w:vAlign w:val="top"/>
          </w:tcPr>
          <w:p>
            <w:pPr>
              <w:spacing w:line="240" w:lineRule="auto"/>
              <w:ind w:firstLine="0"/>
              <w:jc w:val="left"/>
            </w:pPr>
            <w:r>
              <w:rPr>
                <w:sz w:val="20"/>
              </w:rPr>
              <w:t>Cámara de Comercio de Cali (2025b)</w:t>
            </w:r>
          </w:p>
        </w:tc>
      </w:tr>
      <w:tr>
        <w:trPr>
          <w:cantSplit/>
        </w:trPr>
        <w:tc>
          <w:tcPr>
            <w:tcW w:type="dxa" w:w="510"/>
            <w:vAlign w:val="top"/>
          </w:tcPr>
          <w:p>
            <w:pPr>
              <w:spacing w:line="240" w:lineRule="auto"/>
              <w:ind w:firstLine="0"/>
              <w:jc w:val="center"/>
            </w:pPr>
            <w:r>
              <w:rPr>
                <w:sz w:val="20"/>
              </w:rPr>
              <w:t>10</w:t>
            </w:r>
          </w:p>
        </w:tc>
        <w:tc>
          <w:tcPr>
            <w:tcW w:type="dxa" w:w="3742"/>
            <w:vAlign w:val="top"/>
          </w:tcPr>
          <w:p>
            <w:pPr>
              <w:spacing w:line="240" w:lineRule="auto"/>
              <w:ind w:firstLine="0"/>
              <w:jc w:val="left"/>
            </w:pPr>
            <w:r>
              <w:rPr>
                <w:sz w:val="20"/>
              </w:rPr>
              <w:t>Madurez de transformación digital de 25 instituciones de salud de la región (nivel intermedio; gobierno digital: 1,48)</w:t>
            </w:r>
          </w:p>
        </w:tc>
        <w:tc>
          <w:tcPr>
            <w:tcW w:type="dxa" w:w="1928"/>
            <w:vAlign w:val="top"/>
          </w:tcPr>
          <w:p>
            <w:pPr>
              <w:spacing w:line="240" w:lineRule="auto"/>
              <w:ind w:firstLine="0"/>
              <w:jc w:val="left"/>
            </w:pPr>
            <w:r>
              <w:rPr>
                <w:b/>
                <w:sz w:val="20"/>
              </w:rPr>
              <w:t>2,42 / 5</w:t>
            </w:r>
          </w:p>
        </w:tc>
        <w:tc>
          <w:tcPr>
            <w:tcW w:type="dxa" w:w="1191"/>
            <w:vAlign w:val="top"/>
          </w:tcPr>
          <w:p>
            <w:pPr>
              <w:spacing w:line="240" w:lineRule="auto"/>
              <w:ind w:firstLine="0"/>
              <w:jc w:val="center"/>
            </w:pPr>
            <w:r>
              <w:rPr>
                <w:sz w:val="20"/>
              </w:rPr>
              <w:t>2025</w:t>
            </w:r>
          </w:p>
        </w:tc>
        <w:tc>
          <w:tcPr>
            <w:tcW w:type="dxa" w:w="1984"/>
            <w:vAlign w:val="top"/>
          </w:tcPr>
          <w:p>
            <w:pPr>
              <w:spacing w:line="240" w:lineRule="auto"/>
              <w:ind w:firstLine="0"/>
              <w:jc w:val="left"/>
            </w:pPr>
            <w:r>
              <w:rPr>
                <w:sz w:val="20"/>
              </w:rPr>
              <w:t>Cámara de Comercio de Cali (2025c)</w:t>
            </w:r>
          </w:p>
        </w:tc>
      </w:tr>
      <w:tr>
        <w:trPr>
          <w:cantSplit/>
        </w:trPr>
        <w:tc>
          <w:tcPr>
            <w:tcW w:type="dxa" w:w="510"/>
            <w:vAlign w:val="top"/>
          </w:tcPr>
          <w:p>
            <w:pPr>
              <w:spacing w:line="240" w:lineRule="auto"/>
              <w:ind w:firstLine="0"/>
              <w:jc w:val="center"/>
            </w:pPr>
            <w:r>
              <w:rPr>
                <w:sz w:val="20"/>
              </w:rPr>
              <w:t>11</w:t>
            </w:r>
          </w:p>
        </w:tc>
        <w:tc>
          <w:tcPr>
            <w:tcW w:type="dxa" w:w="3742"/>
            <w:vAlign w:val="top"/>
          </w:tcPr>
          <w:p>
            <w:pPr>
              <w:spacing w:line="240" w:lineRule="auto"/>
              <w:ind w:firstLine="0"/>
              <w:jc w:val="left"/>
            </w:pPr>
            <w:r>
              <w:rPr>
                <w:sz w:val="20"/>
              </w:rPr>
              <w:t>Participación del Valle del Cauca en las startups del país</w:t>
            </w:r>
          </w:p>
        </w:tc>
        <w:tc>
          <w:tcPr>
            <w:tcW w:type="dxa" w:w="1928"/>
            <w:vAlign w:val="top"/>
          </w:tcPr>
          <w:p>
            <w:pPr>
              <w:spacing w:line="240" w:lineRule="auto"/>
              <w:ind w:firstLine="0"/>
              <w:jc w:val="left"/>
            </w:pPr>
            <w:r>
              <w:rPr>
                <w:b/>
                <w:sz w:val="20"/>
              </w:rPr>
              <w:t>11 %</w:t>
            </w:r>
          </w:p>
        </w:tc>
        <w:tc>
          <w:tcPr>
            <w:tcW w:type="dxa" w:w="1191"/>
            <w:vAlign w:val="top"/>
          </w:tcPr>
          <w:p>
            <w:pPr>
              <w:spacing w:line="240" w:lineRule="auto"/>
              <w:ind w:firstLine="0"/>
              <w:jc w:val="center"/>
            </w:pPr>
            <w:r>
              <w:rPr>
                <w:sz w:val="20"/>
              </w:rPr>
              <w:t>2025</w:t>
            </w:r>
          </w:p>
        </w:tc>
        <w:tc>
          <w:tcPr>
            <w:tcW w:type="dxa" w:w="1984"/>
            <w:vAlign w:val="top"/>
          </w:tcPr>
          <w:p>
            <w:pPr>
              <w:spacing w:line="240" w:lineRule="auto"/>
              <w:ind w:firstLine="0"/>
              <w:jc w:val="left"/>
            </w:pPr>
            <w:r>
              <w:rPr>
                <w:sz w:val="20"/>
              </w:rPr>
              <w:t>Gómez Goyeneche (2026)</w:t>
            </w:r>
          </w:p>
        </w:tc>
      </w:tr>
      <w:tr>
        <w:trPr>
          <w:cantSplit/>
        </w:trPr>
        <w:tc>
          <w:tcPr>
            <w:tcW w:type="dxa" w:w="510"/>
            <w:vAlign w:val="top"/>
          </w:tcPr>
          <w:p>
            <w:pPr>
              <w:spacing w:line="240" w:lineRule="auto"/>
              <w:ind w:firstLine="0"/>
              <w:jc w:val="center"/>
            </w:pPr>
            <w:r>
              <w:rPr>
                <w:sz w:val="20"/>
              </w:rPr>
              <w:t>12</w:t>
            </w:r>
          </w:p>
        </w:tc>
        <w:tc>
          <w:tcPr>
            <w:tcW w:type="dxa" w:w="3742"/>
            <w:vAlign w:val="top"/>
          </w:tcPr>
          <w:p>
            <w:pPr>
              <w:spacing w:line="240" w:lineRule="auto"/>
              <w:ind w:firstLine="0"/>
              <w:jc w:val="left"/>
            </w:pPr>
            <w:r>
              <w:rPr>
                <w:sz w:val="20"/>
              </w:rPr>
              <w:t>Startups acompañadas por NIDO, Distrito de Innovación e IA del Valle</w:t>
            </w:r>
          </w:p>
        </w:tc>
        <w:tc>
          <w:tcPr>
            <w:tcW w:type="dxa" w:w="1928"/>
            <w:vAlign w:val="top"/>
          </w:tcPr>
          <w:p>
            <w:pPr>
              <w:spacing w:line="240" w:lineRule="auto"/>
              <w:ind w:firstLine="0"/>
              <w:jc w:val="left"/>
            </w:pPr>
            <w:r>
              <w:rPr>
                <w:b/>
                <w:sz w:val="20"/>
              </w:rPr>
              <w:t>220</w:t>
            </w:r>
          </w:p>
        </w:tc>
        <w:tc>
          <w:tcPr>
            <w:tcW w:type="dxa" w:w="1191"/>
            <w:vAlign w:val="top"/>
          </w:tcPr>
          <w:p>
            <w:pPr>
              <w:spacing w:line="240" w:lineRule="auto"/>
              <w:ind w:firstLine="0"/>
              <w:jc w:val="center"/>
            </w:pPr>
            <w:r>
              <w:rPr>
                <w:sz w:val="20"/>
              </w:rPr>
              <w:t>2024-2025</w:t>
            </w:r>
          </w:p>
        </w:tc>
        <w:tc>
          <w:tcPr>
            <w:tcW w:type="dxa" w:w="1984"/>
            <w:vAlign w:val="top"/>
          </w:tcPr>
          <w:p>
            <w:pPr>
              <w:spacing w:line="240" w:lineRule="auto"/>
              <w:ind w:firstLine="0"/>
              <w:jc w:val="left"/>
            </w:pPr>
            <w:r>
              <w:rPr>
                <w:sz w:val="20"/>
              </w:rPr>
              <w:t>Cámara de Comercio de Cali (2026)</w:t>
            </w:r>
          </w:p>
        </w:tc>
      </w:tr>
      <w:tr>
        <w:trPr>
          <w:cantSplit/>
        </w:trPr>
        <w:tc>
          <w:tcPr>
            <w:tcW w:type="dxa" w:w="9355"/>
            <w:gridSpan w:val="5"/>
            <w:shd w:val="clear" w:color="auto" w:fill="F2F2F2"/>
          </w:tcPr>
          <w:p>
            <w:pPr>
              <w:keepNext/>
              <w:spacing w:line="240" w:lineRule="auto"/>
              <w:ind w:firstLine="0"/>
              <w:jc w:val="left"/>
            </w:pPr>
            <w:r>
              <w:rPr>
                <w:b/>
                <w:i/>
                <w:sz w:val="20"/>
              </w:rPr>
              <w:t>El dengue como problema de salud pública</w:t>
            </w:r>
          </w:p>
        </w:tc>
      </w:tr>
      <w:tr>
        <w:trPr>
          <w:cantSplit/>
        </w:trPr>
        <w:tc>
          <w:tcPr>
            <w:tcW w:type="dxa" w:w="510"/>
            <w:vAlign w:val="top"/>
          </w:tcPr>
          <w:p>
            <w:pPr>
              <w:spacing w:line="240" w:lineRule="auto"/>
              <w:ind w:firstLine="0"/>
              <w:jc w:val="center"/>
            </w:pPr>
            <w:r>
              <w:rPr>
                <w:sz w:val="20"/>
              </w:rPr>
              <w:t>13</w:t>
            </w:r>
          </w:p>
        </w:tc>
        <w:tc>
          <w:tcPr>
            <w:tcW w:type="dxa" w:w="3742"/>
            <w:vAlign w:val="top"/>
          </w:tcPr>
          <w:p>
            <w:pPr>
              <w:spacing w:line="240" w:lineRule="auto"/>
              <w:ind w:firstLine="0"/>
              <w:jc w:val="left"/>
            </w:pPr>
            <w:r>
              <w:rPr>
                <w:sz w:val="20"/>
              </w:rPr>
              <w:t>Casos de dengue en Colombia (incidencia: 937,4 por 100.000 hab.; 284 muertes confirmadas)</w:t>
            </w:r>
          </w:p>
        </w:tc>
        <w:tc>
          <w:tcPr>
            <w:tcW w:type="dxa" w:w="1928"/>
            <w:vAlign w:val="top"/>
          </w:tcPr>
          <w:p>
            <w:pPr>
              <w:spacing w:line="240" w:lineRule="auto"/>
              <w:ind w:firstLine="0"/>
              <w:jc w:val="left"/>
            </w:pPr>
            <w:r>
              <w:rPr>
                <w:b/>
                <w:sz w:val="20"/>
              </w:rPr>
              <w:t>312.643</w:t>
            </w:r>
          </w:p>
        </w:tc>
        <w:tc>
          <w:tcPr>
            <w:tcW w:type="dxa" w:w="1191"/>
            <w:vAlign w:val="top"/>
          </w:tcPr>
          <w:p>
            <w:pPr>
              <w:spacing w:line="240" w:lineRule="auto"/>
              <w:ind w:firstLine="0"/>
              <w:jc w:val="center"/>
            </w:pPr>
            <w:r>
              <w:rPr>
                <w:sz w:val="20"/>
              </w:rPr>
              <w:t>2024</w:t>
            </w:r>
          </w:p>
        </w:tc>
        <w:tc>
          <w:tcPr>
            <w:tcW w:type="dxa" w:w="1984"/>
            <w:vAlign w:val="top"/>
          </w:tcPr>
          <w:p>
            <w:pPr>
              <w:spacing w:line="240" w:lineRule="auto"/>
              <w:ind w:firstLine="0"/>
              <w:jc w:val="left"/>
            </w:pPr>
            <w:r>
              <w:rPr>
                <w:sz w:val="20"/>
              </w:rPr>
              <w:t>INS (2025)</w:t>
            </w:r>
          </w:p>
        </w:tc>
      </w:tr>
      <w:tr>
        <w:trPr>
          <w:cantSplit/>
        </w:trPr>
        <w:tc>
          <w:tcPr>
            <w:tcW w:type="dxa" w:w="510"/>
            <w:vAlign w:val="top"/>
          </w:tcPr>
          <w:p>
            <w:pPr>
              <w:spacing w:line="240" w:lineRule="auto"/>
              <w:ind w:firstLine="0"/>
              <w:jc w:val="center"/>
            </w:pPr>
            <w:r>
              <w:rPr>
                <w:sz w:val="20"/>
              </w:rPr>
              <w:t>14</w:t>
            </w:r>
          </w:p>
        </w:tc>
        <w:tc>
          <w:tcPr>
            <w:tcW w:type="dxa" w:w="3742"/>
            <w:vAlign w:val="top"/>
          </w:tcPr>
          <w:p>
            <w:pPr>
              <w:spacing w:line="240" w:lineRule="auto"/>
              <w:ind w:firstLine="0"/>
              <w:jc w:val="left"/>
            </w:pPr>
            <w:r>
              <w:rPr>
                <w:sz w:val="20"/>
              </w:rPr>
              <w:t>Incidencia de dengue: Cali frente a Colombia, por 100.000 habitantes</w:t>
            </w:r>
          </w:p>
        </w:tc>
        <w:tc>
          <w:tcPr>
            <w:tcW w:type="dxa" w:w="1928"/>
            <w:vAlign w:val="top"/>
          </w:tcPr>
          <w:p>
            <w:pPr>
              <w:spacing w:line="240" w:lineRule="auto"/>
              <w:ind w:firstLine="0"/>
              <w:jc w:val="left"/>
            </w:pPr>
            <w:r>
              <w:rPr>
                <w:b/>
                <w:sz w:val="20"/>
              </w:rPr>
              <w:t>1.520 vs. 937</w:t>
            </w:r>
          </w:p>
        </w:tc>
        <w:tc>
          <w:tcPr>
            <w:tcW w:type="dxa" w:w="1191"/>
            <w:vAlign w:val="top"/>
          </w:tcPr>
          <w:p>
            <w:pPr>
              <w:spacing w:line="240" w:lineRule="auto"/>
              <w:ind w:firstLine="0"/>
              <w:jc w:val="center"/>
            </w:pPr>
            <w:r>
              <w:rPr>
                <w:sz w:val="20"/>
              </w:rPr>
              <w:t>2024</w:t>
            </w:r>
          </w:p>
        </w:tc>
        <w:tc>
          <w:tcPr>
            <w:tcW w:type="dxa" w:w="1984"/>
            <w:vAlign w:val="top"/>
          </w:tcPr>
          <w:p>
            <w:pPr>
              <w:spacing w:line="240" w:lineRule="auto"/>
              <w:ind w:firstLine="0"/>
              <w:jc w:val="left"/>
            </w:pPr>
            <w:r>
              <w:rPr>
                <w:sz w:val="20"/>
              </w:rPr>
              <w:t>The Rockefeller Foundation (2026)</w:t>
            </w:r>
          </w:p>
        </w:tc>
      </w:tr>
      <w:tr>
        <w:trPr>
          <w:cantSplit/>
        </w:trPr>
        <w:tc>
          <w:tcPr>
            <w:tcW w:type="dxa" w:w="510"/>
            <w:vAlign w:val="top"/>
          </w:tcPr>
          <w:p>
            <w:pPr>
              <w:spacing w:line="240" w:lineRule="auto"/>
              <w:ind w:firstLine="0"/>
              <w:jc w:val="center"/>
            </w:pPr>
            <w:r>
              <w:rPr>
                <w:sz w:val="20"/>
              </w:rPr>
              <w:t>15</w:t>
            </w:r>
          </w:p>
        </w:tc>
        <w:tc>
          <w:tcPr>
            <w:tcW w:type="dxa" w:w="3742"/>
            <w:vAlign w:val="top"/>
          </w:tcPr>
          <w:p>
            <w:pPr>
              <w:spacing w:line="240" w:lineRule="auto"/>
              <w:ind w:firstLine="0"/>
              <w:jc w:val="left"/>
            </w:pPr>
            <w:r>
              <w:rPr>
                <w:sz w:val="20"/>
              </w:rPr>
              <w:t>Participación del Valle del Cauca y Cali en los casos de la región Pacífica (87.914 de 103.471)</w:t>
            </w:r>
          </w:p>
        </w:tc>
        <w:tc>
          <w:tcPr>
            <w:tcW w:type="dxa" w:w="1928"/>
            <w:vAlign w:val="top"/>
          </w:tcPr>
          <w:p>
            <w:pPr>
              <w:spacing w:line="240" w:lineRule="auto"/>
              <w:ind w:firstLine="0"/>
              <w:jc w:val="left"/>
            </w:pPr>
            <w:r>
              <w:rPr>
                <w:b/>
                <w:sz w:val="20"/>
              </w:rPr>
              <w:t>85,0 %</w:t>
            </w:r>
          </w:p>
        </w:tc>
        <w:tc>
          <w:tcPr>
            <w:tcW w:type="dxa" w:w="1191"/>
            <w:vAlign w:val="top"/>
          </w:tcPr>
          <w:p>
            <w:pPr>
              <w:spacing w:line="240" w:lineRule="auto"/>
              <w:ind w:firstLine="0"/>
              <w:jc w:val="center"/>
            </w:pPr>
            <w:r>
              <w:rPr>
                <w:sz w:val="20"/>
              </w:rPr>
              <w:t>2024</w:t>
            </w:r>
          </w:p>
        </w:tc>
        <w:tc>
          <w:tcPr>
            <w:tcW w:type="dxa" w:w="1984"/>
            <w:vAlign w:val="top"/>
          </w:tcPr>
          <w:p>
            <w:pPr>
              <w:spacing w:line="240" w:lineRule="auto"/>
              <w:ind w:firstLine="0"/>
              <w:jc w:val="left"/>
            </w:pPr>
            <w:r>
              <w:rPr>
                <w:sz w:val="20"/>
              </w:rPr>
              <w:t>INS (2025)</w:t>
            </w:r>
          </w:p>
        </w:tc>
      </w:tr>
      <w:tr>
        <w:trPr>
          <w:cantSplit/>
        </w:trPr>
        <w:tc>
          <w:tcPr>
            <w:tcW w:type="dxa" w:w="510"/>
            <w:vAlign w:val="top"/>
          </w:tcPr>
          <w:p>
            <w:pPr>
              <w:spacing w:line="240" w:lineRule="auto"/>
              <w:ind w:firstLine="0"/>
              <w:jc w:val="center"/>
            </w:pPr>
            <w:r>
              <w:rPr>
                <w:sz w:val="20"/>
              </w:rPr>
              <w:t>16</w:t>
            </w:r>
          </w:p>
        </w:tc>
        <w:tc>
          <w:tcPr>
            <w:tcW w:type="dxa" w:w="3742"/>
            <w:vAlign w:val="top"/>
          </w:tcPr>
          <w:p>
            <w:pPr>
              <w:spacing w:line="240" w:lineRule="auto"/>
              <w:ind w:firstLine="0"/>
              <w:jc w:val="left"/>
            </w:pPr>
            <w:r>
              <w:rPr>
                <w:sz w:val="20"/>
              </w:rPr>
              <w:t>Casos de dengue en Colombia hasta la semana epidemiológica 33 (27,0 % menos que en el mismo periodo de 2025)</w:t>
            </w:r>
          </w:p>
        </w:tc>
        <w:tc>
          <w:tcPr>
            <w:tcW w:type="dxa" w:w="1928"/>
            <w:vAlign w:val="top"/>
          </w:tcPr>
          <w:p>
            <w:pPr>
              <w:spacing w:line="240" w:lineRule="auto"/>
              <w:ind w:firstLine="0"/>
              <w:jc w:val="left"/>
            </w:pPr>
            <w:r>
              <w:rPr>
                <w:b/>
                <w:sz w:val="20"/>
              </w:rPr>
              <w:t>70.350</w:t>
            </w:r>
          </w:p>
        </w:tc>
        <w:tc>
          <w:tcPr>
            <w:tcW w:type="dxa" w:w="1191"/>
            <w:vAlign w:val="top"/>
          </w:tcPr>
          <w:p>
            <w:pPr>
              <w:spacing w:line="240" w:lineRule="auto"/>
              <w:ind w:firstLine="0"/>
              <w:jc w:val="center"/>
            </w:pPr>
            <w:r>
              <w:rPr>
                <w:sz w:val="20"/>
              </w:rPr>
              <w:t>2026</w:t>
            </w:r>
          </w:p>
        </w:tc>
        <w:tc>
          <w:tcPr>
            <w:tcW w:type="dxa" w:w="1984"/>
            <w:vAlign w:val="top"/>
          </w:tcPr>
          <w:p>
            <w:pPr>
              <w:spacing w:line="240" w:lineRule="auto"/>
              <w:ind w:firstLine="0"/>
              <w:jc w:val="left"/>
            </w:pPr>
            <w:r>
              <w:rPr>
                <w:sz w:val="20"/>
              </w:rPr>
              <w:t>INS (2026a)</w:t>
            </w:r>
          </w:p>
        </w:tc>
      </w:tr>
      <w:tr>
        <w:trPr>
          <w:cantSplit/>
        </w:trPr>
        <w:tc>
          <w:tcPr>
            <w:tcW w:type="dxa" w:w="510"/>
            <w:vAlign w:val="top"/>
          </w:tcPr>
          <w:p>
            <w:pPr>
              <w:spacing w:line="240" w:lineRule="auto"/>
              <w:ind w:firstLine="0"/>
              <w:jc w:val="center"/>
            </w:pPr>
            <w:r>
              <w:rPr>
                <w:sz w:val="20"/>
              </w:rPr>
              <w:t>17</w:t>
            </w:r>
          </w:p>
        </w:tc>
        <w:tc>
          <w:tcPr>
            <w:tcW w:type="dxa" w:w="3742"/>
            <w:vAlign w:val="top"/>
          </w:tcPr>
          <w:p>
            <w:pPr>
              <w:spacing w:line="240" w:lineRule="auto"/>
              <w:ind w:firstLine="0"/>
              <w:jc w:val="left"/>
            </w:pPr>
            <w:r>
              <w:rPr>
                <w:sz w:val="20"/>
              </w:rPr>
              <w:t>Costo anual del dengue en Colombia, directo e indirecto (revisión de 14 estudios de 2010-2020)</w:t>
            </w:r>
          </w:p>
        </w:tc>
        <w:tc>
          <w:tcPr>
            <w:tcW w:type="dxa" w:w="1928"/>
            <w:vAlign w:val="top"/>
          </w:tcPr>
          <w:p>
            <w:pPr>
              <w:spacing w:line="240" w:lineRule="auto"/>
              <w:ind w:firstLine="0"/>
              <w:jc w:val="left"/>
            </w:pPr>
            <w:r>
              <w:rPr>
                <w:b/>
                <w:sz w:val="20"/>
              </w:rPr>
              <w:t>≈USD 252 millones al año, en dólares de 2020</w:t>
            </w:r>
          </w:p>
        </w:tc>
        <w:tc>
          <w:tcPr>
            <w:tcW w:type="dxa" w:w="1191"/>
            <w:vAlign w:val="top"/>
          </w:tcPr>
          <w:p>
            <w:pPr>
              <w:spacing w:line="240" w:lineRule="auto"/>
              <w:ind w:firstLine="0"/>
              <w:jc w:val="center"/>
            </w:pPr>
            <w:r>
              <w:rPr>
                <w:sz w:val="20"/>
              </w:rPr>
              <w:t>Publicado en 2024</w:t>
            </w:r>
          </w:p>
        </w:tc>
        <w:tc>
          <w:tcPr>
            <w:tcW w:type="dxa" w:w="1984"/>
            <w:vAlign w:val="top"/>
          </w:tcPr>
          <w:p>
            <w:pPr>
              <w:spacing w:line="240" w:lineRule="auto"/>
              <w:ind w:firstLine="0"/>
              <w:jc w:val="left"/>
            </w:pPr>
            <w:r>
              <w:rPr>
                <w:sz w:val="20"/>
              </w:rPr>
              <w:t>Rodríguez-Morales et al. (2024)</w:t>
            </w:r>
          </w:p>
        </w:tc>
      </w:tr>
      <w:tr>
        <w:trPr>
          <w:cantSplit/>
        </w:trPr>
        <w:tc>
          <w:tcPr>
            <w:tcW w:type="dxa" w:w="510"/>
            <w:vAlign w:val="top"/>
          </w:tcPr>
          <w:p>
            <w:pPr>
              <w:spacing w:line="240" w:lineRule="auto"/>
              <w:ind w:firstLine="0"/>
              <w:jc w:val="center"/>
            </w:pPr>
            <w:r>
              <w:rPr>
                <w:sz w:val="20"/>
              </w:rPr>
              <w:t>18</w:t>
            </w:r>
          </w:p>
        </w:tc>
        <w:tc>
          <w:tcPr>
            <w:tcW w:type="dxa" w:w="3742"/>
            <w:vAlign w:val="top"/>
          </w:tcPr>
          <w:p>
            <w:pPr>
              <w:spacing w:line="240" w:lineRule="auto"/>
              <w:ind w:firstLine="0"/>
              <w:jc w:val="left"/>
            </w:pPr>
            <w:r>
              <w:rPr>
                <w:sz w:val="20"/>
              </w:rPr>
              <w:t>Municipios del Valle con riesgo «muy alto» de transmisión de dengue</w:t>
            </w:r>
          </w:p>
        </w:tc>
        <w:tc>
          <w:tcPr>
            <w:tcW w:type="dxa" w:w="1928"/>
            <w:vAlign w:val="top"/>
          </w:tcPr>
          <w:p>
            <w:pPr>
              <w:spacing w:line="240" w:lineRule="auto"/>
              <w:ind w:firstLine="0"/>
              <w:jc w:val="left"/>
            </w:pPr>
            <w:r>
              <w:rPr>
                <w:b/>
                <w:sz w:val="20"/>
              </w:rPr>
              <w:t>9</w:t>
            </w:r>
          </w:p>
        </w:tc>
        <w:tc>
          <w:tcPr>
            <w:tcW w:type="dxa" w:w="1191"/>
            <w:vAlign w:val="top"/>
          </w:tcPr>
          <w:p>
            <w:pPr>
              <w:spacing w:line="240" w:lineRule="auto"/>
              <w:ind w:firstLine="0"/>
              <w:jc w:val="center"/>
            </w:pPr>
            <w:r>
              <w:rPr>
                <w:sz w:val="20"/>
              </w:rPr>
              <w:t>2024</w:t>
            </w:r>
          </w:p>
        </w:tc>
        <w:tc>
          <w:tcPr>
            <w:tcW w:type="dxa" w:w="1984"/>
            <w:vAlign w:val="top"/>
          </w:tcPr>
          <w:p>
            <w:pPr>
              <w:spacing w:line="240" w:lineRule="auto"/>
              <w:ind w:firstLine="0"/>
              <w:jc w:val="left"/>
            </w:pPr>
            <w:r>
              <w:rPr>
                <w:sz w:val="20"/>
              </w:rPr>
              <w:t>Gobernación del Valle del Cauca (2024)</w:t>
            </w:r>
          </w:p>
        </w:tc>
      </w:tr>
      <w:tr>
        <w:trPr>
          <w:cantSplit/>
        </w:trPr>
        <w:tc>
          <w:tcPr>
            <w:tcW w:type="dxa" w:w="510"/>
            <w:vAlign w:val="top"/>
          </w:tcPr>
          <w:p>
            <w:pPr>
              <w:spacing w:line="240" w:lineRule="auto"/>
              <w:ind w:firstLine="0"/>
              <w:jc w:val="center"/>
            </w:pPr>
            <w:r>
              <w:rPr>
                <w:sz w:val="20"/>
              </w:rPr>
              <w:t>19</w:t>
            </w:r>
          </w:p>
        </w:tc>
        <w:tc>
          <w:tcPr>
            <w:tcW w:type="dxa" w:w="3742"/>
            <w:vAlign w:val="top"/>
          </w:tcPr>
          <w:p>
            <w:pPr>
              <w:spacing w:line="240" w:lineRule="auto"/>
              <w:ind w:firstLine="0"/>
              <w:jc w:val="left"/>
            </w:pPr>
            <w:r>
              <w:rPr>
                <w:sz w:val="20"/>
              </w:rPr>
              <w:t>Desempeño en vigilancia en salud pública: Valle del Cauca (1.er lugar del país) y Distrito de Cali</w:t>
            </w:r>
          </w:p>
        </w:tc>
        <w:tc>
          <w:tcPr>
            <w:tcW w:type="dxa" w:w="1928"/>
            <w:vAlign w:val="top"/>
          </w:tcPr>
          <w:p>
            <w:pPr>
              <w:spacing w:line="240" w:lineRule="auto"/>
              <w:ind w:firstLine="0"/>
              <w:jc w:val="left"/>
            </w:pPr>
            <w:r>
              <w:rPr>
                <w:b/>
                <w:sz w:val="20"/>
              </w:rPr>
              <w:t>98,68 % y 91,30 %</w:t>
            </w:r>
          </w:p>
        </w:tc>
        <w:tc>
          <w:tcPr>
            <w:tcW w:type="dxa" w:w="1191"/>
            <w:vAlign w:val="top"/>
          </w:tcPr>
          <w:p>
            <w:pPr>
              <w:spacing w:line="240" w:lineRule="auto"/>
              <w:ind w:firstLine="0"/>
              <w:jc w:val="center"/>
            </w:pPr>
            <w:r>
              <w:rPr>
                <w:sz w:val="20"/>
              </w:rPr>
              <w:t>2026 (I trim.)</w:t>
            </w:r>
          </w:p>
        </w:tc>
        <w:tc>
          <w:tcPr>
            <w:tcW w:type="dxa" w:w="1984"/>
            <w:vAlign w:val="top"/>
          </w:tcPr>
          <w:p>
            <w:pPr>
              <w:spacing w:line="240" w:lineRule="auto"/>
              <w:ind w:firstLine="0"/>
              <w:jc w:val="left"/>
            </w:pPr>
            <w:r>
              <w:rPr>
                <w:sz w:val="20"/>
              </w:rPr>
              <w:t>INS (2026b)</w:t>
            </w:r>
          </w:p>
        </w:tc>
      </w:tr>
    </w:tbl>
    <w:p>
      <w:pPr>
        <w:spacing w:before="120" w:after="120" w:line="240" w:lineRule="auto"/>
        <w:jc w:val="both"/>
      </w:pPr>
      <w:r>
        <w:rPr>
          <w:i/>
          <w:sz w:val="20"/>
        </w:rPr>
        <w:t>Nota.</w:t>
      </w:r>
      <w:r>
        <w:rPr>
          <w:sz w:val="20"/>
        </w:rPr>
        <w:t xml:space="preserve"> Valores en pesos colombianos ($), salvo los indicados en dólares (USD). pr = preliminar. El indicador 1 es un cálculo propio con dos cifras del boletín del DANE (PIB del Valle de $180.903 miles de millones sobre $1.852.670 miles de millones del total nacional). Los indicadores 3, 5, 6, 13 y 16 son nacionales. No se encontraron cifras publicadas del peso de la salud en el PIB del Valle, del número de IPS habilitadas en Cali, de los ocupados en salud en Cali ni del tamaño del mercado de IA en salud en Colombia. El texto de las tablas y de sus notas está en 10 puntos con interlineado sencillo para que quepan en el ancho de la página. Elaboración propia con base en las fuentes citadas, consultadas el 2 de octubre de 2026.</w:t>
      </w:r>
    </w:p>
    <w:p>
      <w:pPr>
        <w:keepNext/>
        <w:spacing w:before="240"/>
      </w:pPr>
      <w:r>
        <w:rPr>
          <w:b/>
        </w:rPr>
        <w:t>Tabla 2</w:t>
      </w:r>
    </w:p>
    <w:p>
      <w:pPr>
        <w:keepNext/>
        <w:spacing w:after="120"/>
      </w:pPr>
      <w:r>
        <w:rPr>
          <w:i/>
        </w:rPr>
        <w:t>Indicadores de contexto tomados de fuentes secundarias</w:t>
      </w:r>
    </w:p>
    <w:tbl>
      <w:tblPr>
        <w:tblW w:type="dxa" w:w="9355"/>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510"/>
        <w:gridCol w:w="3742"/>
        <w:gridCol w:w="1928"/>
        <w:gridCol w:w="1191"/>
        <w:gridCol w:w="1984"/>
      </w:tblGrid>
      <w:tr>
        <w:trPr>
          <w:tblHeader/>
        </w:trPr>
        <w:tc>
          <w:tcPr>
            <w:tcW w:type="dxa" w:w="510"/>
            <w:shd w:val="clear" w:color="auto" w:fill="D9D9D9"/>
            <w:vAlign w:val="center"/>
          </w:tcPr>
          <w:p>
            <w:pPr>
              <w:spacing w:line="240" w:lineRule="auto"/>
              <w:ind w:firstLine="0"/>
              <w:jc w:val="center"/>
            </w:pPr>
            <w:r>
              <w:rPr>
                <w:b/>
                <w:sz w:val="20"/>
              </w:rPr>
              <w:t>N.º</w:t>
            </w:r>
          </w:p>
        </w:tc>
        <w:tc>
          <w:tcPr>
            <w:tcW w:type="dxa" w:w="3742"/>
            <w:shd w:val="clear" w:color="auto" w:fill="D9D9D9"/>
            <w:vAlign w:val="center"/>
          </w:tcPr>
          <w:p>
            <w:pPr>
              <w:spacing w:line="240" w:lineRule="auto"/>
              <w:ind w:firstLine="0"/>
              <w:jc w:val="center"/>
            </w:pPr>
            <w:r>
              <w:rPr>
                <w:b/>
                <w:sz w:val="20"/>
              </w:rPr>
              <w:t>Indicador</w:t>
            </w:r>
          </w:p>
        </w:tc>
        <w:tc>
          <w:tcPr>
            <w:tcW w:type="dxa" w:w="1928"/>
            <w:shd w:val="clear" w:color="auto" w:fill="D9D9D9"/>
            <w:vAlign w:val="center"/>
          </w:tcPr>
          <w:p>
            <w:pPr>
              <w:spacing w:line="240" w:lineRule="auto"/>
              <w:ind w:firstLine="0"/>
              <w:jc w:val="center"/>
            </w:pPr>
            <w:r>
              <w:rPr>
                <w:b/>
                <w:sz w:val="20"/>
              </w:rPr>
              <w:t>Valor</w:t>
            </w:r>
          </w:p>
        </w:tc>
        <w:tc>
          <w:tcPr>
            <w:tcW w:type="dxa" w:w="1191"/>
            <w:shd w:val="clear" w:color="auto" w:fill="D9D9D9"/>
            <w:vAlign w:val="center"/>
          </w:tcPr>
          <w:p>
            <w:pPr>
              <w:spacing w:line="240" w:lineRule="auto"/>
              <w:ind w:firstLine="0"/>
              <w:jc w:val="center"/>
            </w:pPr>
            <w:r>
              <w:rPr>
                <w:b/>
                <w:sz w:val="20"/>
              </w:rPr>
              <w:t>Año</w:t>
            </w:r>
          </w:p>
        </w:tc>
        <w:tc>
          <w:tcPr>
            <w:tcW w:type="dxa" w:w="1984"/>
            <w:shd w:val="clear" w:color="auto" w:fill="D9D9D9"/>
            <w:vAlign w:val="center"/>
          </w:tcPr>
          <w:p>
            <w:pPr>
              <w:spacing w:line="240" w:lineRule="auto"/>
              <w:ind w:firstLine="0"/>
              <w:jc w:val="center"/>
            </w:pPr>
            <w:r>
              <w:rPr>
                <w:b/>
                <w:sz w:val="20"/>
              </w:rPr>
              <w:t>Fuente</w:t>
            </w:r>
          </w:p>
        </w:tc>
      </w:tr>
      <w:tr>
        <w:trPr>
          <w:cantSplit/>
        </w:trPr>
        <w:tc>
          <w:tcPr>
            <w:tcW w:type="dxa" w:w="510"/>
            <w:vAlign w:val="top"/>
          </w:tcPr>
          <w:p>
            <w:pPr>
              <w:spacing w:line="240" w:lineRule="auto"/>
              <w:ind w:firstLine="0"/>
              <w:jc w:val="center"/>
            </w:pPr>
            <w:r>
              <w:rPr>
                <w:sz w:val="20"/>
              </w:rPr>
              <w:t>A</w:t>
            </w:r>
          </w:p>
        </w:tc>
        <w:tc>
          <w:tcPr>
            <w:tcW w:type="dxa" w:w="3742"/>
            <w:vAlign w:val="top"/>
          </w:tcPr>
          <w:p>
            <w:pPr>
              <w:spacing w:line="240" w:lineRule="auto"/>
              <w:ind w:firstLine="0"/>
              <w:jc w:val="left"/>
            </w:pPr>
            <w:r>
              <w:rPr>
                <w:sz w:val="20"/>
              </w:rPr>
              <w:t>Presupuesto de salud del Distrito de Cali (31 % de la inversión de 2026; presupuesto adoptado por decreto)</w:t>
            </w:r>
          </w:p>
        </w:tc>
        <w:tc>
          <w:tcPr>
            <w:tcW w:type="dxa" w:w="1928"/>
            <w:vAlign w:val="top"/>
          </w:tcPr>
          <w:p>
            <w:pPr>
              <w:spacing w:line="240" w:lineRule="auto"/>
              <w:ind w:firstLine="0"/>
              <w:jc w:val="left"/>
            </w:pPr>
            <w:r>
              <w:rPr>
                <w:b/>
                <w:sz w:val="20"/>
              </w:rPr>
              <w:t>$1,8 billones</w:t>
            </w:r>
          </w:p>
        </w:tc>
        <w:tc>
          <w:tcPr>
            <w:tcW w:type="dxa" w:w="1191"/>
            <w:vAlign w:val="top"/>
          </w:tcPr>
          <w:p>
            <w:pPr>
              <w:spacing w:line="240" w:lineRule="auto"/>
              <w:ind w:firstLine="0"/>
              <w:jc w:val="center"/>
            </w:pPr>
            <w:r>
              <w:rPr>
                <w:sz w:val="20"/>
              </w:rPr>
              <w:t>2026</w:t>
            </w:r>
          </w:p>
        </w:tc>
        <w:tc>
          <w:tcPr>
            <w:tcW w:type="dxa" w:w="1984"/>
            <w:vAlign w:val="top"/>
          </w:tcPr>
          <w:p>
            <w:pPr>
              <w:spacing w:line="240" w:lineRule="auto"/>
              <w:ind w:firstLine="0"/>
              <w:jc w:val="left"/>
            </w:pPr>
            <w:r>
              <w:rPr>
                <w:sz w:val="20"/>
              </w:rPr>
              <w:t>Mi Cali Contrata Bien (2025)</w:t>
            </w:r>
          </w:p>
        </w:tc>
      </w:tr>
      <w:tr>
        <w:trPr>
          <w:cantSplit/>
        </w:trPr>
        <w:tc>
          <w:tcPr>
            <w:tcW w:type="dxa" w:w="510"/>
            <w:vAlign w:val="top"/>
          </w:tcPr>
          <w:p>
            <w:pPr>
              <w:spacing w:line="240" w:lineRule="auto"/>
              <w:ind w:firstLine="0"/>
              <w:jc w:val="center"/>
            </w:pPr>
            <w:r>
              <w:rPr>
                <w:sz w:val="20"/>
              </w:rPr>
              <w:t>B</w:t>
            </w:r>
          </w:p>
        </w:tc>
        <w:tc>
          <w:tcPr>
            <w:tcW w:type="dxa" w:w="3742"/>
            <w:vAlign w:val="top"/>
          </w:tcPr>
          <w:p>
            <w:pPr>
              <w:spacing w:line="240" w:lineRule="auto"/>
              <w:ind w:firstLine="0"/>
              <w:jc w:val="left"/>
            </w:pPr>
            <w:r>
              <w:rPr>
                <w:sz w:val="20"/>
              </w:rPr>
              <w:t>Ocupados en Colombia en «administración pública y defensa, educación y atención de la salud humana» (+404.000 frente a julio de 2025; agregado nacional)</w:t>
            </w:r>
          </w:p>
        </w:tc>
        <w:tc>
          <w:tcPr>
            <w:tcW w:type="dxa" w:w="1928"/>
            <w:vAlign w:val="top"/>
          </w:tcPr>
          <w:p>
            <w:pPr>
              <w:spacing w:line="240" w:lineRule="auto"/>
              <w:ind w:firstLine="0"/>
              <w:jc w:val="left"/>
            </w:pPr>
            <w:r>
              <w:rPr>
                <w:b/>
                <w:sz w:val="20"/>
              </w:rPr>
              <w:t>3,229 millones</w:t>
            </w:r>
          </w:p>
        </w:tc>
        <w:tc>
          <w:tcPr>
            <w:tcW w:type="dxa" w:w="1191"/>
            <w:vAlign w:val="top"/>
          </w:tcPr>
          <w:p>
            <w:pPr>
              <w:spacing w:line="240" w:lineRule="auto"/>
              <w:ind w:firstLine="0"/>
              <w:jc w:val="center"/>
            </w:pPr>
            <w:r>
              <w:rPr>
                <w:sz w:val="20"/>
              </w:rPr>
              <w:t>Julio de 2026</w:t>
            </w:r>
          </w:p>
        </w:tc>
        <w:tc>
          <w:tcPr>
            <w:tcW w:type="dxa" w:w="1984"/>
            <w:vAlign w:val="top"/>
          </w:tcPr>
          <w:p>
            <w:pPr>
              <w:spacing w:line="240" w:lineRule="auto"/>
              <w:ind w:firstLine="0"/>
              <w:jc w:val="left"/>
            </w:pPr>
            <w:r>
              <w:rPr>
                <w:sz w:val="20"/>
              </w:rPr>
              <w:t>Consultor Salud (2026c), con datos de la GEIH del DANE</w:t>
            </w:r>
          </w:p>
        </w:tc>
      </w:tr>
      <w:tr>
        <w:trPr>
          <w:cantSplit/>
        </w:trPr>
        <w:tc>
          <w:tcPr>
            <w:tcW w:type="dxa" w:w="510"/>
            <w:vAlign w:val="top"/>
          </w:tcPr>
          <w:p>
            <w:pPr>
              <w:spacing w:line="240" w:lineRule="auto"/>
              <w:ind w:firstLine="0"/>
              <w:jc w:val="center"/>
            </w:pPr>
            <w:r>
              <w:rPr>
                <w:sz w:val="20"/>
              </w:rPr>
              <w:t>C</w:t>
            </w:r>
          </w:p>
        </w:tc>
        <w:tc>
          <w:tcPr>
            <w:tcW w:type="dxa" w:w="3742"/>
            <w:vAlign w:val="top"/>
          </w:tcPr>
          <w:p>
            <w:pPr>
              <w:spacing w:line="240" w:lineRule="auto"/>
              <w:ind w:firstLine="0"/>
              <w:jc w:val="left"/>
            </w:pPr>
            <w:r>
              <w:rPr>
                <w:sz w:val="20"/>
              </w:rPr>
              <w:t>Startups activas en Colombia y participación de HealthTech</w:t>
            </w:r>
          </w:p>
        </w:tc>
        <w:tc>
          <w:tcPr>
            <w:tcW w:type="dxa" w:w="1928"/>
            <w:vAlign w:val="top"/>
          </w:tcPr>
          <w:p>
            <w:pPr>
              <w:spacing w:line="240" w:lineRule="auto"/>
              <w:ind w:firstLine="0"/>
              <w:jc w:val="left"/>
            </w:pPr>
            <w:r>
              <w:rPr>
                <w:b/>
                <w:sz w:val="20"/>
              </w:rPr>
              <w:t>2.295; HealthTech: 9 %</w:t>
            </w:r>
          </w:p>
        </w:tc>
        <w:tc>
          <w:tcPr>
            <w:tcW w:type="dxa" w:w="1191"/>
            <w:vAlign w:val="top"/>
          </w:tcPr>
          <w:p>
            <w:pPr>
              <w:spacing w:line="240" w:lineRule="auto"/>
              <w:ind w:firstLine="0"/>
              <w:jc w:val="center"/>
            </w:pPr>
            <w:r>
              <w:rPr>
                <w:sz w:val="20"/>
              </w:rPr>
              <w:t>2025</w:t>
            </w:r>
          </w:p>
        </w:tc>
        <w:tc>
          <w:tcPr>
            <w:tcW w:type="dxa" w:w="1984"/>
            <w:vAlign w:val="top"/>
          </w:tcPr>
          <w:p>
            <w:pPr>
              <w:spacing w:line="240" w:lineRule="auto"/>
              <w:ind w:firstLine="0"/>
              <w:jc w:val="left"/>
            </w:pPr>
            <w:r>
              <w:rPr>
                <w:sz w:val="20"/>
              </w:rPr>
              <w:t>KPMG, citado por BBVA Spark (2026)</w:t>
            </w:r>
          </w:p>
        </w:tc>
      </w:tr>
      <w:tr>
        <w:trPr>
          <w:cantSplit/>
        </w:trPr>
        <w:tc>
          <w:tcPr>
            <w:tcW w:type="dxa" w:w="510"/>
            <w:vAlign w:val="top"/>
          </w:tcPr>
          <w:p>
            <w:pPr>
              <w:spacing w:line="240" w:lineRule="auto"/>
              <w:ind w:firstLine="0"/>
              <w:jc w:val="center"/>
            </w:pPr>
            <w:r>
              <w:rPr>
                <w:sz w:val="20"/>
              </w:rPr>
              <w:t>D</w:t>
            </w:r>
          </w:p>
        </w:tc>
        <w:tc>
          <w:tcPr>
            <w:tcW w:type="dxa" w:w="3742"/>
            <w:vAlign w:val="top"/>
          </w:tcPr>
          <w:p>
            <w:pPr>
              <w:spacing w:line="240" w:lineRule="auto"/>
              <w:ind w:firstLine="0"/>
              <w:jc w:val="left"/>
            </w:pPr>
            <w:r>
              <w:rPr>
                <w:sz w:val="20"/>
              </w:rPr>
              <w:t>Inversión en startups colombianas (USD 381 millones en capital y USD 476 millones en deuda especializada)</w:t>
            </w:r>
          </w:p>
        </w:tc>
        <w:tc>
          <w:tcPr>
            <w:tcW w:type="dxa" w:w="1928"/>
            <w:vAlign w:val="top"/>
          </w:tcPr>
          <w:p>
            <w:pPr>
              <w:spacing w:line="240" w:lineRule="auto"/>
              <w:ind w:firstLine="0"/>
              <w:jc w:val="left"/>
            </w:pPr>
            <w:r>
              <w:rPr>
                <w:b/>
                <w:sz w:val="20"/>
              </w:rPr>
              <w:t>USD 857 millones</w:t>
            </w:r>
          </w:p>
        </w:tc>
        <w:tc>
          <w:tcPr>
            <w:tcW w:type="dxa" w:w="1191"/>
            <w:vAlign w:val="top"/>
          </w:tcPr>
          <w:p>
            <w:pPr>
              <w:spacing w:line="240" w:lineRule="auto"/>
              <w:ind w:firstLine="0"/>
              <w:jc w:val="center"/>
            </w:pPr>
            <w:r>
              <w:rPr>
                <w:sz w:val="20"/>
              </w:rPr>
              <w:t>2025</w:t>
            </w:r>
          </w:p>
        </w:tc>
        <w:tc>
          <w:tcPr>
            <w:tcW w:type="dxa" w:w="1984"/>
            <w:vAlign w:val="top"/>
          </w:tcPr>
          <w:p>
            <w:pPr>
              <w:spacing w:line="240" w:lineRule="auto"/>
              <w:ind w:firstLine="0"/>
              <w:jc w:val="left"/>
            </w:pPr>
            <w:r>
              <w:rPr>
                <w:sz w:val="20"/>
              </w:rPr>
              <w:t>KPMG, citado por BBVA Spark (2026)</w:t>
            </w:r>
          </w:p>
        </w:tc>
      </w:tr>
    </w:tbl>
    <w:p>
      <w:pPr>
        <w:spacing w:before="120" w:after="120" w:line="240" w:lineRule="auto"/>
        <w:jc w:val="both"/>
      </w:pPr>
      <w:r>
        <w:rPr>
          <w:i/>
          <w:sz w:val="20"/>
        </w:rPr>
        <w:t>Nota.</w:t>
      </w:r>
      <w:r>
        <w:rPr>
          <w:sz w:val="20"/>
        </w:rPr>
        <w:t xml:space="preserve"> El dato A proviene de una organización civil que cita el decreto de la Alcaldía; el total del presupuesto difiere entre fuentes, así que solo se usa el monto de salud. El dato B es un agregado nacional de tres actividades y no mide solo el empleo en salud. Los datos C y D provienen del Colombia Tech Report 2026 de KPMG, resumido por BBVA Spark (2026); el informe original no se consultó. Elaboración propia, con fuentes consultadas el 2 de octubre de 2026.</w:t>
      </w:r>
    </w:p>
    <w:p>
      <w:pPr>
        <w:pStyle w:val="Heading1"/>
      </w:pPr>
      <w:r>
        <w:t>5. Análisis de los indicadores</w:t>
      </w:r>
    </w:p>
    <w:p>
      <w:pPr>
        <w:ind w:firstLine="720"/>
        <w:jc w:val="both"/>
      </w:pPr>
      <w:r>
        <w:rPr>
          <w:b/>
        </w:rPr>
        <w:t>Tamaño y crecimiento.</w:t>
      </w:r>
      <w:r>
        <w:rPr/>
        <w:t xml:space="preserve"> El Valle del Cauca es la tercera economía del país, con cerca del 9,8 % del PIB nacional, y en 2025 creció más que el promedio (DANE, 2026a, 2026b). La atención de la salud creció 2,5 % en Colombia, casi al ritmo del PIB (DANE, 2026c), y el país destina el 8,14 % de su PIB al gasto corriente en salud (Banco Mundial, 2026a). En Cali, según Mi Cali Contrata Bien (2025), salud concentra $1,8 billones, el 31 % de la inversión del presupuesto de 2026. Es un sector grande, estable y con peso fiscal. Sin embargo, el mercado de AedesAlert es mucho más pequeño: el rubro de vigilancia en salud pública y laboratorios de Cali es de $3.412 millones en 2026 (Ministerio de Salud y Protección Social y Ministerio de Hacienda y Crédito Público, 2025), así que la propuesta debe ser de bajo costo.</w:t>
      </w:r>
    </w:p>
    <w:p>
      <w:pPr>
        <w:ind w:firstLine="720"/>
        <w:jc w:val="both"/>
      </w:pPr>
      <w:r>
        <w:rPr>
          <w:b/>
        </w:rPr>
        <w:t>Problema de salud pública.</w:t>
      </w:r>
      <w:r>
        <w:rPr/>
        <w:t xml:space="preserve"> En 2024, Cali tuvo 1.520 casos de dengue por 100.000 habitantes, frente a 937 en el país (The Rockefeller Foundation, 2026); el Valle y Cali sumaron el 85,0 % de los casos de la región Pacífica (Instituto Nacional de Salud [INS], 2025), y nueve municipios del Valle están en riesgo muy alto de transmisión (Gobernación del Valle del Cauca, 2024). El dengue le cuesta al país ≈USD 252 millones al año, en dólares de 2020 (Rodríguez-Morales et al., 2024). En 2026, hasta la semana 33, los casos bajaron 27,0 % frente al mismo periodo de 2025 (INS, 2026a); esa variación entre años muestra el valor de anticipar los brotes en lugar de reaccionar cuando ya están en curso.</w:t>
      </w:r>
    </w:p>
    <w:p>
      <w:pPr>
        <w:ind w:firstLine="720"/>
        <w:jc w:val="both"/>
      </w:pPr>
      <w:r>
        <w:rPr>
          <w:b/>
        </w:rPr>
        <w:t>Capacidad y brecha digital.</w:t>
      </w:r>
      <w:r>
        <w:rPr/>
        <w:t xml:space="preserve"> El Valle ocupa el primer lugar del país en desempeño de vigilancia en salud pública, con 98,68 %, y Cali obtiene 91,30 % (INS, 2026b; Consultor Salud, 2026b): los datos del SIVIGILA son confiables. En cambio, la madurez digital de las instituciones de salud de la región es intermedia (2,42 sobre 5), con el gobierno digital como dimensión más débil (Cámara de Comercio de Cali, 2025c). Hay datos de calidad, pero las instituciones necesitan herramientas simples, como un mapa semáforo, y acompañamiento. A favor, los ocupados TIC del Valle crecieron en promedio 7,2 % entre 2019 y 2023, frente a 4,9 % en el país (Cámara de Comercio de Cali, 2025b).</w:t>
      </w:r>
    </w:p>
    <w:p>
      <w:pPr>
        <w:ind w:firstLine="720"/>
        <w:jc w:val="both"/>
      </w:pPr>
      <w:r>
        <w:rPr>
          <w:b/>
        </w:rPr>
        <w:t>Ecosistema.</w:t>
      </w:r>
      <w:r>
        <w:rPr/>
        <w:t xml:space="preserve"> El Valle concentra el 11 % de las startups del país (Gómez Goyeneche, 2026), y NIDO ha acompañado a 220 startups, entre ellas de HealthTech (Cámara de Comercio de Cali, 2026). En el nivel nacional, el Colombia Tech Report 2026 de KPMG, citado por BBVA Spark (2026), cuenta 2.295 startups, el 9 % de ellas HealthTech, y una inversión de USD 857 millones en 2025. Hay estructuras para incubar la idea y conseguir pilotos, aunque las cifras nacionales del ecosistema vienen de una fuente secundaria.</w:t>
      </w:r>
    </w:p>
    <w:p>
      <w:pPr>
        <w:pStyle w:val="Heading1"/>
      </w:pPr>
      <w:r>
        <w:t>6. Relación con AedesAlert Cali</w:t>
      </w:r>
    </w:p>
    <w:p>
      <w:pPr>
        <w:ind w:firstLine="720"/>
        <w:jc w:val="both"/>
      </w:pPr>
      <w:r>
        <w:rPr/>
        <w:t>Los indicadores muestran una oportunidad clara. El problema está medido y es grave en Cali y en el Valle; el Distrito declara el dengue y las enfermedades transmitidas por vectores como tema prioritario y tiene un rubro para vigilancia (Ministerio de Salud y Protección Social y Ministerio de Hacienda y Crédito Público, 2025); los datos de vigilancia son de calidad, y la ley permite usar datos abiertos y agregados. DengueIA funciona como referente: su efectividad reportada del 93 % valida el enfoque, y como la nota de cierre de su primera fase no menciona código abierto, datos abiertos ni ampliación a otros municipios del Valle (Universidad Icesi, 2026), AedesAlert puede ocupar ese espacio como complemento abierto y replicable para los otros ocho municipios en riesgo muy alto.</w:t>
      </w:r>
    </w:p>
    <w:p>
      <w:pPr>
        <w:ind w:firstLine="720"/>
        <w:jc w:val="both"/>
      </w:pPr>
      <w:r>
        <w:rPr/>
        <w:t>Los riesgos también son claros. Primero, la demanda está por validar: aún no hay evidencia de que una secretaría de salud quiera adoptar o pagar la herramienta, y el presupuesto de vigilancia es pequeño. Segundo, el modelo necesita casos por comuna y por semana; si los datos abiertos no tienen ese nivel de detalle, habrá que pedirlos por derecho de petición y garantizar su anonimización. Tercero, DengueIA ya opera en Cali con respaldo institucional, de modo que AedesAlert debe presentarse como complemento y no como reemplazo. Cuarto, una futura ley de IA por niveles de riesgo podría sumar obligaciones, lo que se mitiga con transparencia y documentación desde el diseño.</w:t>
      </w:r>
    </w:p>
    <w:p>
      <w:pPr>
        <w:pStyle w:val="Heading1"/>
      </w:pPr>
      <w:r>
        <w:t>7. Conclusiones</w:t>
      </w:r>
    </w:p>
    <w:p>
      <w:pPr>
        <w:ind w:firstLine="720"/>
        <w:jc w:val="both"/>
      </w:pPr>
      <w:r>
        <w:rPr/>
        <w:t>AedesAlert Cali se ubica en el sector salud, en el segmento HealthTech, con la salud pública como primer mercado y un fuerte apoyo en el sector TI. Es un sector grande y estable, en una región que es la tercera economía del país y que creció por encima del promedio en 2025.</w:t>
      </w:r>
    </w:p>
    <w:p>
      <w:pPr>
        <w:ind w:firstLine="720"/>
        <w:jc w:val="both"/>
      </w:pPr>
      <w:r>
        <w:rPr/>
        <w:t>El dengue es un problema de salud pública medido y costoso, con una incidencia en Cali muy superior a la nacional y nueve municipios del Valle en riesgo muy alto, lo que justifica una herramienta que anticipe los brotes. Las condiciones para la solución existen: datos de vigilancia de calidad, un presupuesto de vigilancia asignado, un marco legal que permite usar datos abiertos y agregados, y un ecosistema con apoyo a HealthTech. La brecha está en la madurez digital de las instituciones y en la validación de la demanda; por eso, el siguiente paso es contrastar la idea con las secretarías de salud y diseñar AedesAlert como un complemento abierto, simple y de bajo costo frente a DengueIA.</w:t>
      </w:r>
    </w:p>
    <w:p>
      <w:pPr>
        <w:pStyle w:val="Heading1"/>
        <w:pageBreakBefore/>
        <w:jc w:val="center"/>
      </w:pPr>
      <w:r>
        <w:t>Referencias</w:t>
      </w:r>
    </w:p>
    <w:p>
      <w:pPr>
        <w:ind w:left="720" w:hanging="720"/>
        <w:jc w:val="left"/>
      </w:pPr>
      <w:r>
        <w:rPr/>
        <w:t xml:space="preserve">Banco Mundial. (2026a). </w:t>
      </w:r>
      <w:r>
        <w:rPr>
          <w:i/>
        </w:rPr>
        <w:t>Gasto corriente en salud (% del PIB) – Colombia</w:t>
      </w:r>
      <w:r>
        <w:rPr/>
        <w:t xml:space="preserve"> [Conjunto de datos; fuente: Organización Mundial de la Salud, Global Health Expenditure Database; actualizado el 13 de julio de 2026]. https://datos.bancomundial.org/indicador/SH.XPD.CHEX.GD.ZS?locations=CO</w:t>
      </w:r>
    </w:p>
    <w:p>
      <w:pPr>
        <w:ind w:left="720" w:hanging="720"/>
        <w:jc w:val="left"/>
      </w:pPr>
      <w:r>
        <w:rPr/>
        <w:t xml:space="preserve">Banco Mundial. (2026b). </w:t>
      </w:r>
      <w:r>
        <w:rPr>
          <w:i/>
        </w:rPr>
        <w:t>Gasto corriente en salud per cápita (US$ a precios actuales) – Colombia</w:t>
      </w:r>
      <w:r>
        <w:rPr/>
        <w:t xml:space="preserve"> [Conjunto de datos; actualizado el 13 de julio de 2026]. https://api.worldbank.org/v2/country/CO/indicator/SH.XPD.CHEX.PC.CD?format=json&amp;mrv=3</w:t>
      </w:r>
    </w:p>
    <w:p>
      <w:pPr>
        <w:ind w:left="720" w:hanging="720"/>
        <w:jc w:val="left"/>
      </w:pPr>
      <w:r>
        <w:rPr/>
        <w:t xml:space="preserve">BBVA Spark. (2026, 16 de junio). </w:t>
      </w:r>
      <w:r>
        <w:rPr>
          <w:i/>
        </w:rPr>
        <w:t>Colombia's tech ecosystem is growing, but now faces the challenge of scaling</w:t>
      </w:r>
      <w:r>
        <w:rPr/>
        <w:t>. https://www.bbvaspark.com/en/news/colombia-tech-report-2026-ecosystem-startups/</w:t>
      </w:r>
    </w:p>
    <w:p>
      <w:pPr>
        <w:ind w:left="720" w:hanging="720"/>
        <w:jc w:val="left"/>
      </w:pPr>
      <w:r>
        <w:rPr/>
        <w:t xml:space="preserve">Cámara de Comercio de Cali. (2025a, 6 de noviembre). </w:t>
      </w:r>
      <w:r>
        <w:rPr>
          <w:i/>
        </w:rPr>
        <w:t>Excelencia Clínica</w:t>
      </w:r>
      <w:r>
        <w:rPr/>
        <w:t>. Plataforma Clúster. https://www.ccc.org.co/plataformacluster/excelencia-clinica/</w:t>
      </w:r>
    </w:p>
    <w:p>
      <w:pPr>
        <w:ind w:left="720" w:hanging="720"/>
        <w:jc w:val="left"/>
      </w:pPr>
      <w:r>
        <w:rPr/>
        <w:t xml:space="preserve">Cámara de Comercio de Cali. (2025b, 18 de junio). </w:t>
      </w:r>
      <w:r>
        <w:rPr>
          <w:i/>
        </w:rPr>
        <w:t>La innovación tecnológica como motor del desarrollo regional</w:t>
      </w:r>
      <w:r>
        <w:rPr/>
        <w:t xml:space="preserve"> (Ritmo Cluster, Informe n.º 46). https://www.ccc.org.co/wp-content/uploads/2025/06/20250618_La-innovacio%CC%81n-tecnolo%CC%81gica-como-motor-del-desarrollo-regional.pdf</w:t>
      </w:r>
    </w:p>
    <w:p>
      <w:pPr>
        <w:ind w:left="720" w:hanging="720"/>
        <w:jc w:val="left"/>
      </w:pPr>
      <w:r>
        <w:rPr/>
        <w:t xml:space="preserve">Cámara de Comercio de Cali. (2025c, 22 de agosto). </w:t>
      </w:r>
      <w:r>
        <w:rPr>
          <w:i/>
        </w:rPr>
        <w:t>Panorama de innovación y transformación digital en salud</w:t>
      </w:r>
      <w:r>
        <w:rPr/>
        <w:t xml:space="preserve"> (Ritmo Cluster, Informe n.º 47). https://www.ccc.org.co/wp-content/uploads/2025/08/20250822_InformeEC.pdf</w:t>
      </w:r>
    </w:p>
    <w:p>
      <w:pPr>
        <w:ind w:left="720" w:hanging="720"/>
        <w:jc w:val="left"/>
      </w:pPr>
      <w:r>
        <w:rPr/>
        <w:t xml:space="preserve">Cámara de Comercio de Cali. (2026, 10 de abril). </w:t>
      </w:r>
      <w:r>
        <w:rPr>
          <w:i/>
        </w:rPr>
        <w:t>NIDO amplía su alcance y fortalece la innovación en el Valle del Cauca</w:t>
      </w:r>
      <w:r>
        <w:rPr/>
        <w:t>. https://www.ccc.org.co/nido-ampla-su-alcance-y-fortalece-la-innovacin-en-el-valle-del-cauca/</w:t>
      </w:r>
    </w:p>
    <w:p>
      <w:pPr>
        <w:ind w:left="720" w:hanging="720"/>
        <w:jc w:val="left"/>
      </w:pPr>
      <w:r>
        <w:rPr/>
        <w:t xml:space="preserve">Cámara de Representantes. (2026, 21 de julio). </w:t>
      </w:r>
      <w:r>
        <w:rPr>
          <w:i/>
        </w:rPr>
        <w:t>Proyecto de ley «Por medio de la cual se regula la inteligencia artificial en Colombia para garantizar su desarrollo ético y responsable y se dictan otras disposiciones»</w:t>
      </w:r>
      <w:r>
        <w:rPr/>
        <w:t>. https://www.camara.gov.co/wp-content/uploads/2026/07/proyectos-ley/documentos/proyecto-36127/P.L.025-2026SC-INTELIGENCIA-ARTIFICIAL.pdf</w:t>
      </w:r>
    </w:p>
    <w:p>
      <w:pPr>
        <w:ind w:left="720" w:hanging="720"/>
        <w:jc w:val="left"/>
      </w:pPr>
      <w:r>
        <w:rPr/>
        <w:t xml:space="preserve">CERLATAM, Centro de Estudios Regulatorios. (2024). </w:t>
      </w:r>
      <w:r>
        <w:rPr>
          <w:i/>
        </w:rPr>
        <w:t>SIC, Circular Externa 002 de 2024</w:t>
      </w:r>
      <w:r>
        <w:rPr/>
        <w:t>. https://www.cerlatam.com/normatividad/sic-circular-externa-002-de-2024/</w:t>
      </w:r>
    </w:p>
    <w:p>
      <w:pPr>
        <w:ind w:left="720" w:hanging="720"/>
        <w:jc w:val="left"/>
      </w:pPr>
      <w:r>
        <w:rPr/>
        <w:t xml:space="preserve">Chía, L. (2026, 5 de agosto). Ley nuclear y de inteligencia artificial: ¿en qué van estas regulaciones en Colombia? </w:t>
      </w:r>
      <w:r>
        <w:rPr>
          <w:i/>
        </w:rPr>
        <w:t>Cambio</w:t>
      </w:r>
      <w:r>
        <w:rPr/>
        <w:t>. https://cambiocolombia.com/ciencia/articulo/2026/8/ley-nuclear-y-de-inteligencia-artificial-en-que-van-estas-regulaciones-en-colombia</w:t>
      </w:r>
    </w:p>
    <w:p>
      <w:pPr>
        <w:ind w:left="720" w:hanging="720"/>
        <w:jc w:val="left"/>
      </w:pPr>
      <w:r>
        <w:rPr/>
        <w:t xml:space="preserve">Congreso de la República de Colombia. (2012, 17 de octubre). </w:t>
      </w:r>
      <w:r>
        <w:rPr>
          <w:i/>
        </w:rPr>
        <w:t>Ley Estatutaria 1581 de 2012, por la cual se dictan disposiciones generales para la protección de datos personales</w:t>
      </w:r>
      <w:r>
        <w:rPr/>
        <w:t>. Diario Oficial 48.587. http://www.secretariasenado.gov.co/senado/basedoc/ley_1581_2012.html</w:t>
      </w:r>
    </w:p>
    <w:p>
      <w:pPr>
        <w:ind w:left="720" w:hanging="720"/>
        <w:jc w:val="left"/>
      </w:pPr>
      <w:r>
        <w:rPr/>
        <w:t xml:space="preserve">Congreso de la República de Colombia. (2014, 6 de marzo). </w:t>
      </w:r>
      <w:r>
        <w:rPr>
          <w:i/>
        </w:rPr>
        <w:t>Ley 1712 de 2014, por medio de la cual se crea la Ley de Transparencia y del Derecho de Acceso a la Información Pública Nacional y se dictan otras disposiciones</w:t>
      </w:r>
      <w:r>
        <w:rPr/>
        <w:t>. Diario Oficial 49.084. http://www.secretariasenado.gov.co/senado/basedoc/ley_1712_2014.html</w:t>
      </w:r>
    </w:p>
    <w:p>
      <w:pPr>
        <w:ind w:left="720" w:hanging="720"/>
        <w:jc w:val="left"/>
      </w:pPr>
      <w:r>
        <w:rPr/>
        <w:t xml:space="preserve">Consultor Salud. (2026a, 4 de mayo). </w:t>
      </w:r>
      <w:r>
        <w:rPr>
          <w:i/>
        </w:rPr>
        <w:t>Gestión en salud del Valle del Cauca fue destacada en control político por inversión superior a $1 billón e indicadores sanitarios</w:t>
      </w:r>
      <w:r>
        <w:rPr/>
        <w:t>. https://consultorsalud.com/gestion-en-salud-del-valle-del-cauca-destacada/</w:t>
      </w:r>
    </w:p>
    <w:p>
      <w:pPr>
        <w:ind w:left="720" w:hanging="720"/>
        <w:jc w:val="left"/>
      </w:pPr>
      <w:r>
        <w:rPr/>
        <w:t xml:space="preserve">Consultor Salud. (2026b, 10 de junio). </w:t>
      </w:r>
      <w:r>
        <w:rPr>
          <w:i/>
        </w:rPr>
        <w:t>Nuevo ranking nacional de vigilancia en salud pública 2026: Meta, Valle del Cauca y Bogotá lideran</w:t>
      </w:r>
      <w:r>
        <w:rPr/>
        <w:t>. https://consultorsalud.com/ranking-nacional-de-vigilancia-en-salud-publica/</w:t>
      </w:r>
    </w:p>
    <w:p>
      <w:pPr>
        <w:ind w:left="720" w:hanging="720"/>
        <w:jc w:val="left"/>
      </w:pPr>
      <w:r>
        <w:rPr/>
        <w:t xml:space="preserve">Consultor Salud. (2026c, 31 de agosto). </w:t>
      </w:r>
      <w:r>
        <w:rPr>
          <w:i/>
        </w:rPr>
        <w:t>Atención en salud impulsa el empleo en Colombia en julio</w:t>
      </w:r>
      <w:r>
        <w:rPr/>
        <w:t>. https://consultorsalud.com/atencion-salud-empleo-colombia-dane-julio-2026/</w:t>
      </w:r>
    </w:p>
    <w:p>
      <w:pPr>
        <w:ind w:left="720" w:hanging="720"/>
        <w:jc w:val="left"/>
      </w:pPr>
      <w:r>
        <w:rPr/>
        <w:t xml:space="preserve">Departamento Administrativo Nacional de Estadística [DANE]. (2026a, 3 de julio). </w:t>
      </w:r>
      <w:r>
        <w:rPr>
          <w:i/>
        </w:rPr>
        <w:t>Boletín técnico: Producto interno bruto departamental 2025 preliminar</w:t>
      </w:r>
      <w:r>
        <w:rPr/>
        <w:t>. https://www.dane.gov.co/files/operaciones/PIB/bol-PIBDep-2025pr.pdf</w:t>
      </w:r>
    </w:p>
    <w:p>
      <w:pPr>
        <w:ind w:left="720" w:hanging="720"/>
        <w:jc w:val="left"/>
      </w:pPr>
      <w:r>
        <w:rPr/>
        <w:t xml:space="preserve">Departamento Administrativo Nacional de Estadística [DANE]. (2026b, 3 de julio). </w:t>
      </w:r>
      <w:r>
        <w:rPr>
          <w:i/>
        </w:rPr>
        <w:t>Boletín técnico: Indicador Trimestral de Actividad Económica Departamental (ITAED), IV trimestre de 2025</w:t>
      </w:r>
      <w:r>
        <w:rPr/>
        <w:t>. https://www.dane.gov.co/files/operaciones/ITAED/bol-ITAED-IVtrim2025.pdf</w:t>
      </w:r>
    </w:p>
    <w:p>
      <w:pPr>
        <w:ind w:left="720" w:hanging="720"/>
        <w:jc w:val="left"/>
      </w:pPr>
      <w:r>
        <w:rPr/>
        <w:t xml:space="preserve">Departamento Administrativo Nacional de Estadística [DANE]. (2026c, 16 de febrero). </w:t>
      </w:r>
      <w:r>
        <w:rPr>
          <w:i/>
        </w:rPr>
        <w:t>Boletín técnico: Producto interno bruto (PIB), IV trimestre de 2025 preliminar</w:t>
      </w:r>
      <w:r>
        <w:rPr/>
        <w:t>. https://www.dane.gov.co/files/operaciones/PIB/bol-PIB-IVtrim2025.pdf</w:t>
      </w:r>
    </w:p>
    <w:p>
      <w:pPr>
        <w:ind w:left="720" w:hanging="720"/>
        <w:jc w:val="left"/>
      </w:pPr>
      <w:r>
        <w:rPr/>
        <w:t xml:space="preserve">Departamento Nacional de Planeación [DNP]. (2025). </w:t>
      </w:r>
      <w:r>
        <w:rPr>
          <w:i/>
        </w:rPr>
        <w:t>Documento CONPES 4144: Política Nacional de Inteligencia Artificial</w:t>
      </w:r>
      <w:r>
        <w:rPr/>
        <w:t>. https://colaboracion.dnp.gov.co/CDT/Conpes/Econ%C3%B3micos/4144.pdf</w:t>
      </w:r>
    </w:p>
    <w:p>
      <w:pPr>
        <w:ind w:left="720" w:hanging="720"/>
        <w:jc w:val="left"/>
      </w:pPr>
      <w:r>
        <w:rPr/>
        <w:t xml:space="preserve">Gobernación del Valle del Cauca. (2024). </w:t>
      </w:r>
      <w:r>
        <w:rPr>
          <w:i/>
        </w:rPr>
        <w:t>Plan Territorial de Salud 2024-2027</w:t>
      </w:r>
      <w:r>
        <w:rPr/>
        <w:t>. https://www.valledelcauca.gov.co/loader.php?lServicio=Tools2&amp;lTipo=viewpdf&amp;id=73263</w:t>
      </w:r>
    </w:p>
    <w:p>
      <w:pPr>
        <w:ind w:left="720" w:hanging="720"/>
        <w:jc w:val="left"/>
      </w:pPr>
      <w:r>
        <w:rPr/>
        <w:t xml:space="preserve">Gómez Goyeneche, D. (2026, 20 de mayo). Ya hay más de 2.200 startups en Colombia: sector de SaaS lidera por encima de fintech. </w:t>
      </w:r>
      <w:r>
        <w:rPr>
          <w:i/>
        </w:rPr>
        <w:t>La República</w:t>
      </w:r>
      <w:r>
        <w:rPr/>
        <w:t>. https://www.larepublica.co/empresas/ya-hay-mas-de-2-200-startups-en-colombia-sector-de-saas-lidera-por-encima-de-fintech-4396062</w:t>
      </w:r>
    </w:p>
    <w:p>
      <w:pPr>
        <w:ind w:left="720" w:hanging="720"/>
        <w:jc w:val="left"/>
      </w:pPr>
      <w:r>
        <w:rPr/>
        <w:t xml:space="preserve">Instituto Nacional de Salud [INS]. (2025). </w:t>
      </w:r>
      <w:r>
        <w:rPr>
          <w:i/>
        </w:rPr>
        <w:t>Informe de evento: dengue, 2024</w:t>
      </w:r>
      <w:r>
        <w:rPr/>
        <w:t>. https://www.ins.gov.co/buscador-eventos/Informesdeevento/DENGUE%20INFORME%20DE%20EVENTO%202024.pdf</w:t>
      </w:r>
    </w:p>
    <w:p>
      <w:pPr>
        <w:ind w:left="720" w:hanging="720"/>
        <w:jc w:val="left"/>
      </w:pPr>
      <w:r>
        <w:rPr/>
        <w:t xml:space="preserve">Instituto Nacional de Salud [INS]. (2026a). </w:t>
      </w:r>
      <w:r>
        <w:rPr>
          <w:i/>
        </w:rPr>
        <w:t>Boletín epidemiológico semanal: semana epidemiológica 33 de 2026</w:t>
      </w:r>
      <w:r>
        <w:rPr/>
        <w:t>. https://www.ins.gov.co/BibliotecaDigital/2026-boletin-epidemiologico-semana-33.pdf</w:t>
      </w:r>
    </w:p>
    <w:p>
      <w:pPr>
        <w:ind w:left="720" w:hanging="720"/>
        <w:jc w:val="left"/>
      </w:pPr>
      <w:r>
        <w:rPr/>
        <w:t xml:space="preserve">Instituto Nacional de Salud [INS]. (2026b). </w:t>
      </w:r>
      <w:r>
        <w:rPr>
          <w:i/>
        </w:rPr>
        <w:t>Boletín epidemiológico semanal: semana epidemiológica 21 de 2026</w:t>
      </w:r>
      <w:r>
        <w:rPr/>
        <w:t>. https://www.ins.gov.co/BibliotecaDigital/2026-boletin-epidemiologico-semana-21.pdf</w:t>
      </w:r>
    </w:p>
    <w:p>
      <w:pPr>
        <w:ind w:left="720" w:hanging="720"/>
        <w:jc w:val="left"/>
      </w:pPr>
      <w:r>
        <w:rPr/>
        <w:t xml:space="preserve">INVIMA. (s. f.). </w:t>
      </w:r>
      <w:r>
        <w:rPr>
          <w:i/>
        </w:rPr>
        <w:t>Decreto 3518 de 2006, por el cual se crea y reglamenta el Sistema de Vigilancia en Salud Pública y se dictan otras disposiciones</w:t>
      </w:r>
      <w:r>
        <w:rPr/>
        <w:t xml:space="preserve"> [Compilación jurídica]. https://normograma.invima.gov.co/normograma/compilacion/docs/decreto_3518_2006.htm</w:t>
      </w:r>
    </w:p>
    <w:p>
      <w:pPr>
        <w:ind w:left="720" w:hanging="720"/>
        <w:jc w:val="left"/>
      </w:pPr>
      <w:r>
        <w:rPr/>
        <w:t xml:space="preserve">Mi Cali Contrata Bien. (2025, 19 de diciembre). </w:t>
      </w:r>
      <w:r>
        <w:rPr>
          <w:i/>
        </w:rPr>
        <w:t>$7,5 billones será el presupuesto de la Alcaldía de Cali para el 2026</w:t>
      </w:r>
      <w:r>
        <w:rPr/>
        <w:t>. https://www.micalicontratabien.org/post/presupuesto-cali-2026</w:t>
      </w:r>
    </w:p>
    <w:p>
      <w:pPr>
        <w:ind w:left="720" w:hanging="720"/>
        <w:jc w:val="left"/>
      </w:pPr>
      <w:r>
        <w:rPr/>
        <w:t xml:space="preserve">Ministerio de Salud y Protección Social [MinSalud]. (s. f.). </w:t>
      </w:r>
      <w:r>
        <w:rPr>
          <w:i/>
        </w:rPr>
        <w:t>Normatividad: Interoperabilidad de la Historia Clínica Electrónica (IHCE)</w:t>
      </w:r>
      <w:r>
        <w:rPr/>
        <w:t>. https://www.minsalud.gov.co/ihce/Paginas/Normatividad.aspx</w:t>
      </w:r>
    </w:p>
    <w:p>
      <w:pPr>
        <w:ind w:left="720" w:hanging="720"/>
        <w:jc w:val="left"/>
      </w:pPr>
      <w:r>
        <w:rPr/>
        <w:t xml:space="preserve">Ministerio de Salud y Protección Social y Ministerio de Hacienda y Crédito Público. (2025). </w:t>
      </w:r>
      <w:r>
        <w:rPr>
          <w:i/>
        </w:rPr>
        <w:t>Informe de análisis Plan Financiero Territorial de Salud: Distrito de Santiago de Cali, cuatrienio 2024-2027</w:t>
      </w:r>
      <w:r>
        <w:rPr/>
        <w:t>. https://www.minsalud.gov.co/sites/rid/Lists/BibliotecaDigital/RIDE/VP/FS/pfts-cali-2024-2027-publicacion.pdf</w:t>
      </w:r>
    </w:p>
    <w:p>
      <w:pPr>
        <w:ind w:left="720" w:hanging="720"/>
        <w:jc w:val="left"/>
      </w:pPr>
      <w:r>
        <w:rPr/>
        <w:t xml:space="preserve">Ministerio de Tecnologías de la Información y las Comunicaciones [MinTIC]. (2025, 11 de marzo). </w:t>
      </w:r>
      <w:r>
        <w:rPr>
          <w:i/>
        </w:rPr>
        <w:t>Ante la academia, el Gobierno Nacional presentó el Conpes de Inteligencia Artificial</w:t>
      </w:r>
      <w:r>
        <w:rPr/>
        <w:t>. https://www.mintic.gov.co/portal/715/w3-article-400044.html</w:t>
      </w:r>
    </w:p>
    <w:p>
      <w:pPr>
        <w:ind w:left="720" w:hanging="720"/>
        <w:jc w:val="left"/>
      </w:pPr>
      <w:r>
        <w:rPr/>
        <w:t xml:space="preserve">Rodríguez-Morales, A. J., López-Medina, E., Arboleda, I., Cardona-Ospina, J. A., Castellanos, J., Faccini-Martínez, Á. A., Gallagher, E., Hanley, R., López, P., Mattar, S., Pérez, C. E., Kastner, R., Reynales, H., Rosso, F., Shen, J., Villamil-Gómez, W. E., &amp; Fuquen, M. (2024). Cost of dengue in Colombia: A systematic review. </w:t>
      </w:r>
      <w:r>
        <w:rPr>
          <w:i/>
        </w:rPr>
        <w:t>PLOS Neglected Tropical Diseases, 18</w:t>
      </w:r>
      <w:r>
        <w:rPr/>
        <w:t>(12), e0012718. https://doi.org/10.1371/journal.pntd.0012718</w:t>
      </w:r>
    </w:p>
    <w:p>
      <w:pPr>
        <w:ind w:left="720" w:hanging="720"/>
        <w:jc w:val="left"/>
      </w:pPr>
      <w:r>
        <w:rPr/>
        <w:t xml:space="preserve">The Rockefeller Foundation. (2026, 5 de mayo). </w:t>
      </w:r>
      <w:r>
        <w:rPr>
          <w:i/>
        </w:rPr>
        <w:t>DengueAI: New model that anticipates outbreaks with 93% effectiveness and three weeks' advance notice</w:t>
      </w:r>
      <w:r>
        <w:rPr/>
        <w:t>. https://www.rockefellerfoundation.org/news/dengueai-model-anticipates-outbreaks-93-effectiveness-three-weeks-advance-notice/</w:t>
      </w:r>
    </w:p>
    <w:p>
      <w:pPr>
        <w:ind w:left="720" w:hanging="720"/>
        <w:jc w:val="left"/>
      </w:pPr>
      <w:r>
        <w:rPr/>
        <w:t xml:space="preserve">Universidad Icesi. (2026, 21 de septiembre). </w:t>
      </w:r>
      <w:r>
        <w:rPr>
          <w:i/>
        </w:rPr>
        <w:t>Dengue.IA.Cali cierra su primera fase</w:t>
      </w:r>
      <w:r>
        <w:rPr/>
        <w:t>. https://www.icesi.edu.co/dengue-ia-cali-cierra-su-primera-fase/</w:t>
      </w:r>
    </w:p>
    <w:sectPr w:rsidR="00FC693F" w:rsidRPr="0006063C" w:rsidSect="00034616">
      <w:head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sz w:val="24"/>
      </w:rPr>
      <w:fldChar w:fldCharType="begin"/>
      <w:instrText xml:space="preserve">PAGE</w:instrText>
      <w:fldChar w:fldCharType="separate"/>
      <w:t>2</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4"/>
        <w:szCs w:val="24"/>
        <w:lang w:val="es-CO" w:eastAsia="es-CO" w:bidi="ar-SA"/>
      </w:rPr>
    </w:rPrDefault>
    <w:pPrDefault>
      <w:pPr>
        <w:spacing w:after="0" w:line="36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Times New Roman" w:cs="Times New Roman"/>
      <w:sz w:val="24"/>
      <w:lang w:val="es-CO" w:eastAsia="es-CO"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spacing w:before="240" w:after="0" w:line="360" w:lineRule="auto"/>
      <w:jc w:val="left"/>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0" w:line="360" w:lineRule="auto"/>
      <w:jc w:val="left"/>
      <w:outlineLvl w:val="1"/>
    </w:pPr>
    <w:rPr>
      <w:rFonts w:ascii="Times New Roman" w:hAnsi="Times New Roman" w:eastAsia="Times New Roman" w:cs="Times New Roman"/>
      <w:b/>
      <w:bCs/>
      <w:i/>
      <w:color w:val="000000"/>
      <w:sz w:val="24"/>
      <w:szCs w:val="26"/>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Características e indicadores del sector económico: salud y HealthTech en el Valle del Cauca</dc:title>
  <dc:subject>Actividad de Aprendizaje 3 — Idea de proyecto de grado: AedesAlert Cali</dc:subject>
  <dc:creator>Juan Diego Nieto</dc:creator>
  <cp:keywords/>
  <dc:description>generated by python-docx</dc:description>
  <cp:lastModifiedBy>Juan Diego Nieto</cp:lastModifiedBy>
  <cp:revision>1</cp:revision>
  <dcterms:created xsi:type="dcterms:W3CDTF">2013-12-23T23:15:00Z</dcterms:created>
  <dcterms:modified xsi:type="dcterms:W3CDTF">2013-12-23T23:15:00Z</dcterms:modified>
  <cp:category/>
  <dc:language>es-CO</dc:language>
</cp:coreProperties>
</file>