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Script — Business Model Canvas presentation</w:t>
      </w:r>
    </w:p>
    <w:p>
      <w:pPr>
        <w:jc w:val="center"/>
      </w:pPr>
      <w:r>
        <w:rPr>
          <w:b w:val="0"/>
        </w:rPr>
        <w:t>AedesAlert Cali</w:t>
      </w:r>
    </w:p>
    <w:p>
      <w:pPr>
        <w:jc w:val="center"/>
      </w:pPr>
    </w:p>
    <w:p>
      <w:pPr>
        <w:jc w:val="center"/>
      </w:pPr>
      <w:r>
        <w:rPr>
          <w:b w:val="0"/>
        </w:rPr>
        <w:t>Juan Diego Nieto</w:t>
      </w:r>
    </w:p>
    <w:p>
      <w:pPr>
        <w:jc w:val="center"/>
      </w:pPr>
      <w:r>
        <w:rPr>
          <w:b w:val="0"/>
        </w:rPr>
        <w:t>Course: Ideation, Entrepreneurship and Technological Development</w:t>
      </w:r>
    </w:p>
    <w:p>
      <w:pPr>
        <w:jc w:val="center"/>
      </w:pPr>
      <w:r>
        <w:rPr>
          <w:b w:val="0"/>
        </w:rPr>
        <w:t>Systems Engineering</w:t>
      </w:r>
    </w:p>
    <w:p>
      <w:pPr>
        <w:jc w:val="center"/>
      </w:pPr>
      <w:r>
        <w:rPr>
          <w:b w:val="0"/>
        </w:rPr>
        <w:t>Universidad Cooperativa de Colombia, Cali campus</w:t>
      </w:r>
    </w:p>
    <w:p>
      <w:pPr>
        <w:jc w:val="center"/>
      </w:pPr>
      <w:r>
        <w:rPr>
          <w:b w:val="0"/>
        </w:rPr>
        <w:t>October 2026</w:t>
        <w:br w:type="page"/>
      </w:r>
    </w:p>
    <w:p>
      <w:pPr>
        <w:pStyle w:val="Heading1"/>
      </w:pPr>
      <w:r>
        <w:t>How to use this script</w:t>
      </w:r>
    </w:p>
    <w:p>
      <w:r>
        <w:rPr>
          <w:b w:val="0"/>
        </w:rPr>
        <w:t>A 10-minute talk with 12 slides, plus one backup slide (13, Sources) with no spoken text and no time. Each block follows the outline in guia-canvas.md §11: slide number, title, time range, the text to say out loud, and what is on screen. The reference pace is about 130 words per minute. Sentences are short on purpose: pause at each full stop. The screen can show more numbers than you say; you do not need to read them all.</w:t>
      </w:r>
    </w:p>
    <w:p>
      <w:pPr>
        <w:pStyle w:val="Heading2"/>
      </w:pPr>
      <w:r>
        <w:t>Slide 1 · AedesAlert Cali</w:t>
      </w:r>
    </w:p>
    <w:p>
      <w:pPr>
        <w:keepNext/>
      </w:pPr>
      <w:r>
        <w:rPr>
          <w:b/>
        </w:rPr>
        <w:t xml:space="preserve">Time: </w:t>
      </w:r>
      <w:r>
        <w:rPr>
          <w:b w:val="0"/>
        </w:rPr>
        <w:t>0:00–0:20 (20 s) · 44 words</w:t>
      </w:r>
    </w:p>
    <w:p>
      <w:pPr>
        <w:keepNext/>
        <w:keepLines/>
      </w:pPr>
      <w:r>
        <w:rPr>
          <w:b w:val="0"/>
        </w:rPr>
        <w:t>Hello everyone. My name is Juan Diego Nieto, and I study Systems Engineering at UCC. Today I will present the business model of AedesAlert Cali. It is an open early-warning map for dengue in Valle del Cauca. It shows weekly dengue risk by comuna.</w:t>
      </w:r>
    </w:p>
    <w:p>
      <w:r>
        <w:rPr>
          <w:b/>
        </w:rPr>
        <w:t xml:space="preserve">On screen: </w:t>
      </w:r>
      <w:r>
        <w:rPr>
          <w:b w:val="0"/>
        </w:rPr>
        <w:t>Project name; “Weekly dengue risk by comuna, with open data”; Juan Diego Nieto · Systems Engineering · UCC Cali · course name; traffic-light icon.</w:t>
      </w:r>
    </w:p>
    <w:p>
      <w:pPr>
        <w:pStyle w:val="Heading2"/>
      </w:pPr>
      <w:r>
        <w:t>Slide 2 · Dengue hits Valle del Cauca hard</w:t>
      </w:r>
    </w:p>
    <w:p>
      <w:pPr>
        <w:keepNext/>
      </w:pPr>
      <w:r>
        <w:rPr>
          <w:b/>
        </w:rPr>
        <w:t xml:space="preserve">Time: </w:t>
      </w:r>
      <w:r>
        <w:rPr>
          <w:b w:val="0"/>
        </w:rPr>
        <w:t>0:20–1:05 (45 s) · 87 words</w:t>
      </w:r>
    </w:p>
    <w:p>
      <w:pPr>
        <w:keepNext/>
        <w:keepLines/>
      </w:pPr>
      <w:r>
        <w:rPr>
          <w:b w:val="0"/>
        </w:rPr>
        <w:t>Let me start with the problem. Dengue hits Valle del Cauca hard. In 2024, Cali had 1,520 cases per 100,000 people. The national average was 937. So Cali was far above the country. That same year, Colombia had 312,643 dengue cases. Dengue is also expensive. One study estimates that it costs Colombia about 252 million US dollars a year, in 2020 dollars. On the map you can see the 9 municipalities of Valle at very high risk: Cali, Buga, Candelaria, Yumbo, Palmira, Tuluá, Cartago, Florida and Jamundí.</w:t>
      </w:r>
    </w:p>
    <w:p>
      <w:r>
        <w:rPr>
          <w:b/>
        </w:rPr>
        <w:t xml:space="preserve">On screen: </w:t>
      </w:r>
      <w:r>
        <w:rPr>
          <w:b w:val="0"/>
        </w:rPr>
        <w:t>Cali 2024: 1,520 cases per 100,000 people vs 937 in Colombia · Colombia 2024: 312,643 cases · Cost to Colombia: ≈USD 252 million a year (2020 dollars) · 9 municipalities of Valle at very high risk (map with names).</w:t>
      </w:r>
    </w:p>
    <w:p>
      <w:pPr>
        <w:pStyle w:val="Heading2"/>
      </w:pPr>
      <w:r>
        <w:t>Slide 3 · The sector: health, powered by IT</w:t>
      </w:r>
    </w:p>
    <w:p>
      <w:pPr>
        <w:keepNext/>
      </w:pPr>
      <w:r>
        <w:rPr>
          <w:b/>
        </w:rPr>
        <w:t xml:space="preserve">Time: </w:t>
      </w:r>
      <w:r>
        <w:rPr>
          <w:b w:val="0"/>
        </w:rPr>
        <w:t>1:05–1:55 (50 s) · 98 words</w:t>
      </w:r>
    </w:p>
    <w:p>
      <w:pPr>
        <w:keepNext/>
        <w:keepLines/>
      </w:pPr>
      <w:r>
        <w:rPr>
          <w:b w:val="0"/>
        </w:rPr>
        <w:t>Now, the sector. AedesAlert belongs to the health sector, and more exactly to HealthTech: health, powered by information technology. In 2024, Colombia spent 8.14% of its GDP on health, and in 2025 health care activity grew 2.5%. Valle del Cauca is the third largest economy in the country, with about 9.8% of GDP. Cali also has the Clinical Excellence Cluster, with 528 firms in 2023. But there are two markets here. Clinical care is mostly private. Public health is run by the health secretariats. AedesAlert's first market is public health, so it is also GovTech: technology for government.</w:t>
      </w:r>
    </w:p>
    <w:p>
      <w:r>
        <w:rPr>
          <w:b/>
        </w:rPr>
        <w:t xml:space="preserve">On screen: </w:t>
      </w:r>
      <w:r>
        <w:rPr>
          <w:b w:val="0"/>
        </w:rPr>
        <w:t>Colombia spends 8.14% of GDP on health (2024) · Health care activity grew 2.5% in 2025 · Valle: 3rd largest economy, ≈9.8% of GDP · Clinical Excellence Cluster: 528 firms (2023) · Two markets: clinical care (private) vs public health (secretariats).</w:t>
      </w:r>
    </w:p>
    <w:p>
      <w:pPr>
        <w:pStyle w:val="Heading2"/>
      </w:pPr>
      <w:r>
        <w:t>Slide 4 · Sector trends and rules</w:t>
      </w:r>
    </w:p>
    <w:p>
      <w:pPr>
        <w:keepNext/>
      </w:pPr>
      <w:r>
        <w:rPr>
          <w:b/>
        </w:rPr>
        <w:t xml:space="preserve">Time: </w:t>
      </w:r>
      <w:r>
        <w:rPr>
          <w:b w:val="0"/>
        </w:rPr>
        <w:t>1:55–2:40 (45 s) · 95 words</w:t>
      </w:r>
    </w:p>
    <w:p>
      <w:pPr>
        <w:keepNext/>
        <w:keepLines/>
      </w:pPr>
      <w:r>
        <w:rPr>
          <w:b w:val="0"/>
        </w:rPr>
        <w:t>Next, trends and rules. The sector is going digital. HealthTech is 9% of the 2,295 startups in Colombia, and Valle has 11% of them. But there is a gap: the digital maturity of health institutions in our region is only 2.42 out of 5. Valle is also strong in surveillance. It ranked first in public health surveillance, with 98.68% in the first quarter of 2026. About the rules: health data are sensitive under Law 1581 of 2012, so AedesAlert uses only aggregated, anonymized data. And Colombia has a national AI policy, CONPES 4144 of 2025.</w:t>
      </w:r>
    </w:p>
    <w:p>
      <w:r>
        <w:rPr>
          <w:b/>
        </w:rPr>
        <w:t xml:space="preserve">On screen: </w:t>
      </w:r>
      <w:r>
        <w:rPr>
          <w:b w:val="0"/>
        </w:rPr>
        <w:t>HealthTech = 9% of 2,295 Colombian startups · Valle = 11% of startups · Digital maturity of regional health institutions: 2.42 / 5 · Valle ranks 1st in public health surveillance (98.68%, Q1 2026) · Health data are sensitive (Law 1581 of 2012) → aggregated, anonymized data only · National AI policy (CONPES 4144 of 2025).</w:t>
      </w:r>
    </w:p>
    <w:p>
      <w:pPr>
        <w:pStyle w:val="Heading2"/>
      </w:pPr>
      <w:r>
        <w:t>Slide 5 · The idea, and DengueIA</w:t>
      </w:r>
    </w:p>
    <w:p>
      <w:pPr>
        <w:keepNext/>
      </w:pPr>
      <w:r>
        <w:rPr>
          <w:b/>
        </w:rPr>
        <w:t xml:space="preserve">Time: </w:t>
      </w:r>
      <w:r>
        <w:rPr>
          <w:b w:val="0"/>
        </w:rPr>
        <w:t>2:40–3:35 (55 s) · 121 words</w:t>
      </w:r>
    </w:p>
    <w:p>
      <w:pPr>
        <w:keepNext/>
        <w:keepLines/>
      </w:pPr>
      <w:r>
        <w:rPr>
          <w:b w:val="0"/>
        </w:rPr>
        <w:t>Now, the idea. Cali already has a dengue forecasting tool, called DengueIA. It covers 174 zones of 1 square kilometer, with about 2.2 million people. It has a 93% reported effectiveness, and it can warn up to 3 weeks ahead. That is their number, not mine. So DengueIA proved that forecasting dengue works. AedesAlert takes the same idea and makes it open. It combines SIVIGILA case data with NASA POWER weather data. It compares Random Forest and XGBoost with a classic model, SARIMA. The result is a weekly traffic-light map by comuna. First, I will build a prototype with Cali's 22 comunas. Then, I want to take it to the other 8 very-high-risk municipalities. AedesAlert is a complement, not a competitor.</w:t>
      </w:r>
    </w:p>
    <w:p>
      <w:r>
        <w:rPr>
          <w:b/>
        </w:rPr>
        <w:t xml:space="preserve">On screen: </w:t>
      </w:r>
      <w:r>
        <w:rPr>
          <w:b w:val="0"/>
        </w:rPr>
        <w:t>Flow: SIVIGILA cases + NASA POWER weather → Random Forest/XGBoost vs SARIMA → weekly traffic-light map by comuna · DengueIA: Cali, 174 zones of 1 km², ~2.2 million people, 93% reported effectiveness, up to 3 weeks ahead · AedesAlert: comunas, open data, open-source code, prototype with Cali's 22 comunas, then the other 8 very-high-risk municipalities · “A complement, not a competitor”.</w:t>
      </w:r>
    </w:p>
    <w:p>
      <w:pPr>
        <w:pStyle w:val="Heading2"/>
      </w:pPr>
      <w:r>
        <w:t>Slide 6 · The Business Model Canvas</w:t>
      </w:r>
    </w:p>
    <w:p>
      <w:pPr>
        <w:keepNext/>
      </w:pPr>
      <w:r>
        <w:rPr>
          <w:b/>
        </w:rPr>
        <w:t xml:space="preserve">Time: </w:t>
      </w:r>
      <w:r>
        <w:rPr>
          <w:b w:val="0"/>
        </w:rPr>
        <w:t>3:35–4:15 (40 s) · 86 words</w:t>
      </w:r>
    </w:p>
    <w:p>
      <w:pPr>
        <w:keepNext/>
        <w:keepLines/>
      </w:pPr>
      <w:r>
        <w:rPr>
          <w:b w:val="0"/>
        </w:rPr>
        <w:t>This is the full Business Model Canvas. It shows the whole model in one view. On the left, you see the partners, the activities and the resources. In the middle, the value proposition. On the right, the relationships, the channels and the customer segments. At the bottom, costs and revenue. In the next slides, I follow the order our teacher suggested. I start with value and customers. Then channels, relationships and revenue. After that, resources, activities and partners. And finally, the cost structure, in block 8.</w:t>
      </w:r>
    </w:p>
    <w:p>
      <w:r>
        <w:rPr>
          <w:b/>
        </w:rPr>
        <w:t xml:space="preserve">On screen: </w:t>
      </w:r>
      <w:r>
        <w:rPr>
          <w:b w:val="0"/>
        </w:rPr>
        <w:t>Full reference Canvas (short EN versions of §1–§9) in the template layout; block numbers 1–9; small note: “Order: 4 → 7 → 6 → 5 → 9 → 3 → 2 → 1 → 8”.</w:t>
      </w:r>
    </w:p>
    <w:p>
      <w:pPr>
        <w:pStyle w:val="Heading2"/>
      </w:pPr>
      <w:r>
        <w:t>Slide 7 · Value and customers (blocks 4 and 7)</w:t>
      </w:r>
    </w:p>
    <w:p>
      <w:pPr>
        <w:keepNext/>
      </w:pPr>
      <w:r>
        <w:rPr>
          <w:b/>
        </w:rPr>
        <w:t xml:space="preserve">Time: </w:t>
      </w:r>
      <w:r>
        <w:rPr>
          <w:b w:val="0"/>
        </w:rPr>
        <w:t>4:15–5:20 (65 s) · 141 words</w:t>
      </w:r>
    </w:p>
    <w:p>
      <w:pPr>
        <w:keepNext/>
        <w:keepLines/>
      </w:pPr>
      <w:r>
        <w:rPr>
          <w:b w:val="0"/>
        </w:rPr>
        <w:t>Blocks 4 and 7: value and customers. AedesAlert gives a weekly dengue risk map by comuna, with traffic-light colors. It shows the health secretariat where to focus mosquito control first. It uses open data and open-source code, so there are no license fees. It can be replicated in the 8 very-high-risk municipalities. And it complements DengueIA; it does not compete with it.</w:t>
      </w:r>
    </w:p>
    <w:p>
      <w:pPr>
        <w:keepNext/>
        <w:keepLines/>
      </w:pPr>
      <w:r>
        <w:rPr>
          <w:b w:val="0"/>
        </w:rPr>
        <w:t>Now, who pays? The main paying customers are the health secretariats of the 8 very-high-risk municipalities outside Cali: Buga, Candelaria, Cartago, Florida, Jamundí, Palmira, Tuluá and Yumbo. The Valle health secretariat is both a customer and an ally. Cali is a reference user, not the main customer, because it already has DengueIA. Clinics and insurers, the IPS and EPS, are only a hypothesis. I still need to validate them. Finally, universities and developers can use the code for free.</w:t>
      </w:r>
    </w:p>
    <w:p>
      <w:r>
        <w:rPr>
          <w:b/>
        </w:rPr>
        <w:t xml:space="preserve">On screen: </w:t>
      </w:r>
      <w:r>
        <w:rPr>
          <w:b w:val="0"/>
        </w:rPr>
        <w:t>Value proposition (5 bullets) · Segments: paying (8 municipalities, named), customer and ally (Valle health secretariat), reference user (Cali), hypothesis (IPS/EPS), free users (academia).</w:t>
      </w:r>
    </w:p>
    <w:p>
      <w:pPr>
        <w:pStyle w:val="Heading2"/>
      </w:pPr>
      <w:r>
        <w:t>Slide 8 · Channels, relationships and revenue (blocks 6, 5 and 9)</w:t>
      </w:r>
    </w:p>
    <w:p>
      <w:pPr>
        <w:keepNext/>
      </w:pPr>
      <w:r>
        <w:rPr>
          <w:b/>
        </w:rPr>
        <w:t xml:space="preserve">Time: </w:t>
      </w:r>
      <w:r>
        <w:rPr>
          <w:b w:val="0"/>
        </w:rPr>
        <w:t>5:20–6:35 (75 s) · 172 words</w:t>
      </w:r>
    </w:p>
    <w:p>
      <w:pPr>
        <w:keepNext/>
        <w:keepLines/>
      </w:pPr>
      <w:r>
        <w:rPr>
          <w:b w:val="0"/>
        </w:rPr>
        <w:t>Blocks 6, 5 and 9. The key idea: the code is free, so I do not sell licenses. First, channels. Secretariats learn about AedesAlert at the departmental surveillance committee, the COVE, and through a public demo. Then we run a pilot with one secretariat. To buy, a public entity uses SECOP II, with direct contracting, or an agreement through UCC.</w:t>
      </w:r>
    </w:p>
    <w:p>
      <w:pPr>
        <w:keepNext/>
        <w:keepLines/>
      </w:pPr>
      <w:r>
        <w:rPr>
          <w:b w:val="0"/>
        </w:rPr>
        <w:t>Second, relationships. We validate the map with vector-control staff. We send a weekly risk report. We train the team so it can run the model on its own. And we offer yearly support.</w:t>
      </w:r>
    </w:p>
    <w:p>
      <w:pPr>
        <w:keepNext/>
        <w:keepLines/>
      </w:pPr>
      <w:r>
        <w:rPr>
          <w:b w:val="0"/>
        </w:rPr>
        <w:t>Third, revenue. The secretariats pay for setup, training and yearly support. The price per municipality is to be validated. As a benchmark, Cali paid between 12.9 and 16.7 million pesos for vector-control analysis contracts in 2023. Why not the PIC, the collective health plan? Because that money goes to the local public hospital. For example, Palmira's PIC for 2026 is 2,300 million pesos. Project funding, like SGR-CTeI, is another source; for example, the AEDES program had 14,770 million pesos.</w:t>
      </w:r>
    </w:p>
    <w:p>
      <w:r>
        <w:rPr>
          <w:b/>
        </w:rPr>
        <w:t xml:space="preserve">On screen: </w:t>
      </w:r>
      <w:r>
        <w:rPr>
          <w:b w:val="0"/>
        </w:rPr>
        <w:t>Channels: COVE pitch, public demo, pilot, SECOP II, UCC agreement · Relationship: co-creation, weekly report, training, yearly support · Revenue: services (price to be validated; benchmark COP 12.9–16.7 million per contract, Cali 2023) · Why not the PIC: it goes to the local public hospital (Palmira 2026: COP 2,300 million) · Project funding: SGR-CTeI (precedent: AEDES program, COP 14,770 million).</w:t>
      </w:r>
    </w:p>
    <w:p>
      <w:pPr>
        <w:pStyle w:val="Heading2"/>
      </w:pPr>
      <w:r>
        <w:t>Slide 9 · Resources, activities and partners (blocks 3, 2 and 1)</w:t>
      </w:r>
    </w:p>
    <w:p>
      <w:pPr>
        <w:keepNext/>
      </w:pPr>
      <w:r>
        <w:rPr>
          <w:b/>
        </w:rPr>
        <w:t xml:space="preserve">Time: </w:t>
      </w:r>
      <w:r>
        <w:rPr>
          <w:b w:val="0"/>
        </w:rPr>
        <w:t>6:35–7:35 (60 s) · 133 words</w:t>
      </w:r>
    </w:p>
    <w:p>
      <w:pPr>
        <w:keepNext/>
        <w:keepLines/>
      </w:pPr>
      <w:r>
        <w:rPr>
          <w:b w:val="0"/>
        </w:rPr>
        <w:t>Blocks 3, 2 and 1. The key resources are open data, free tools and one person. The data come from SIVIGILA, for dengue cases, and from NASA POWER, for weather. The code lives on GitHub, and the map runs on Streamlit. Both are free. The people are me and my UCC advisor.</w:t>
      </w:r>
    </w:p>
    <w:p>
      <w:pPr>
        <w:keepNext/>
        <w:keepLines/>
      </w:pPr>
      <w:r>
        <w:rPr>
          <w:b w:val="0"/>
        </w:rPr>
        <w:t>The key activities are cleaning the data every week, comparing the models, publishing the weekly map and validating it with the secretariat. Then, replicating it in other municipalities, training each team, selling through SECOP II, and protecting the data.</w:t>
      </w:r>
    </w:p>
    <w:p>
      <w:pPr>
        <w:keepNext/>
        <w:keepLines/>
      </w:pPr>
      <w:r>
        <w:rPr>
          <w:b w:val="0"/>
        </w:rPr>
        <w:t>The key partners are the health secretariats and the departmental Public Health Laboratory. Also UCC, Tecnoparque, NIDO, which supported 220 startups, and the Clinical Excellence Cluster. The local public hospitals, the ESE, carry out mosquito control. And funders can support the project.</w:t>
      </w:r>
    </w:p>
    <w:p>
      <w:r>
        <w:rPr>
          <w:b/>
        </w:rPr>
        <w:t xml:space="preserve">On screen: </w:t>
      </w:r>
      <w:r>
        <w:rPr>
          <w:b w:val="0"/>
        </w:rPr>
        <w:t>Resources: SIVIGILA + NASA POWER, GitHub, Streamlit, author, UCC advisor · Activities: weekly data cleaning, model comparison, weekly map, validation, replication, training, SECOP II sales, data governance · Partners: secretariats, Public Health Lab, UCC, Tecnoparque, NIDO (220 startups supported), Clinical Excellence Cluster, ESE, funders.</w:t>
      </w:r>
    </w:p>
    <w:p>
      <w:pPr>
        <w:pStyle w:val="Heading2"/>
      </w:pPr>
      <w:r>
        <w:t>Slide 10 · Cost structure (block 8)</w:t>
      </w:r>
    </w:p>
    <w:p>
      <w:pPr>
        <w:keepNext/>
      </w:pPr>
      <w:r>
        <w:rPr>
          <w:b/>
        </w:rPr>
        <w:t xml:space="preserve">Time: </w:t>
      </w:r>
      <w:r>
        <w:rPr>
          <w:b w:val="0"/>
        </w:rPr>
        <w:t>7:35–8:20 (45 s) · 92 words</w:t>
      </w:r>
    </w:p>
    <w:p>
      <w:pPr>
        <w:keepNext/>
        <w:keepLines/>
      </w:pPr>
      <w:r>
        <w:rPr>
          <w:b w:val="0"/>
        </w:rPr>
        <w:t>Block 8: the cost structure. This is a low-cost model. The infrastructure costs 0 pesos, because NASA POWER, GitHub and Streamlit are free while the map is public. The real cost is one person's time. As a benchmark, a systems engineer in Cali earns about 2.2 million pesos a month. It is a small sample. A .com.co domain costs 114,990 pesos. So a 6-month pilot in one municipality costs about 13.2 million pesos, plus travel. This is only an estimate, not a quote. In short, fixed costs are bigger than variable costs.</w:t>
      </w:r>
    </w:p>
    <w:p>
      <w:r>
        <w:rPr>
          <w:b/>
        </w:rPr>
        <w:t xml:space="preserve">On screen: </w:t>
      </w:r>
      <w:r>
        <w:rPr>
          <w:b w:val="0"/>
        </w:rPr>
        <w:t>Infrastructure: COP 0 · People: COP 2.2 million/month (systems engineer, Cali; small sample) · .com.co domain: COP 114,990 · 6-month pilot ≈ COP 13.2 million + travel (estimate) · Fixed costs &gt; variable costs.</w:t>
      </w:r>
    </w:p>
    <w:p>
      <w:pPr>
        <w:pStyle w:val="Heading2"/>
      </w:pPr>
      <w:r>
        <w:t>Slide 11 · Risks and next steps</w:t>
      </w:r>
    </w:p>
    <w:p>
      <w:pPr>
        <w:keepNext/>
      </w:pPr>
      <w:r>
        <w:rPr>
          <w:b/>
        </w:rPr>
        <w:t xml:space="preserve">Time: </w:t>
      </w:r>
      <w:r>
        <w:rPr>
          <w:b w:val="0"/>
        </w:rPr>
        <w:t>8:20–9:15 (55 s) · 118 words</w:t>
      </w:r>
    </w:p>
    <w:p>
      <w:pPr>
        <w:keepNext/>
        <w:keepLines/>
      </w:pPr>
      <w:r>
        <w:rPr>
          <w:b w:val="0"/>
        </w:rPr>
        <w:t>Now, I want to be honest about the risks. First, demand in the 8 municipalities is not validated yet. Second, data by comuna may need a data agreement with each secretariat. Third, I have no accuracy comparison with DengueIA, so I do not say that AedesAlert is more accurate. And fourth, the price is still an assumption, not a real number.</w:t>
      </w:r>
    </w:p>
    <w:p>
      <w:pPr>
        <w:keepNext/>
        <w:keepLines/>
      </w:pPr>
      <w:r>
        <w:rPr>
          <w:b w:val="0"/>
        </w:rPr>
        <w:t>The next steps are designed to test these risks. Step one: build the prototype with Cali's 22 comunas, as part of my thesis. Step two: interview health secretariats and run a pilot with one of them. Step three: register on SECOP II and pitch at the COVE. And step four: apply to an SGR-CTeI call through UCC.</w:t>
      </w:r>
    </w:p>
    <w:p>
      <w:r>
        <w:rPr>
          <w:b/>
        </w:rPr>
        <w:t xml:space="preserve">On screen: </w:t>
      </w:r>
      <w:r>
        <w:rPr>
          <w:b w:val="0"/>
        </w:rPr>
        <w:t>Risks: demand in the 8 municipalities not validated · comuna-level data may need a data agreement · no accuracy comparison with DengueIA · price is an assumption · Next steps: prototype with Cali's 22 comunas (thesis) → interviews and a pilot with one secretariat → SECOP II registration and COVE pitch → SGR-CTeI call through UCC.</w:t>
      </w:r>
    </w:p>
    <w:p>
      <w:pPr>
        <w:pStyle w:val="Heading2"/>
      </w:pPr>
      <w:r>
        <w:t>Slide 12 · Closing</w:t>
      </w:r>
    </w:p>
    <w:p>
      <w:pPr>
        <w:keepNext/>
      </w:pPr>
      <w:r>
        <w:rPr>
          <w:b/>
        </w:rPr>
        <w:t xml:space="preserve">Time: </w:t>
      </w:r>
      <w:r>
        <w:rPr>
          <w:b w:val="0"/>
        </w:rPr>
        <w:t>9:15–9:45 (30 s) · 59 words</w:t>
      </w:r>
    </w:p>
    <w:p>
      <w:pPr>
        <w:keepNext/>
        <w:keepLines/>
      </w:pPr>
      <w:r>
        <w:rPr>
          <w:b w:val="0"/>
        </w:rPr>
        <w:t>To close. DengueIA showed that dengue forecasting works in Cali. AedesAlert wants to bring that idea, openly and at low cost, to the rest of Valle del Cauca, so health secretariats can act earlier, in the right places. Open data. Open code. Earlier action. Thank you very much for your attention. I am happy to answer your questions now.</w:t>
      </w:r>
    </w:p>
    <w:p>
      <w:r>
        <w:rPr>
          <w:b/>
        </w:rPr>
        <w:t xml:space="preserve">On screen: </w:t>
      </w:r>
      <w:r>
        <w:rPr>
          <w:b w:val="0"/>
        </w:rPr>
        <w:t>“Open data. Open code. Earlier action.” · Traffic-light map image · “Thank you — questions?”.</w:t>
      </w:r>
    </w:p>
    <w:p>
      <w:pPr>
        <w:pStyle w:val="Heading2"/>
      </w:pPr>
      <w:r>
        <w:t>Slide 13 (backup) · Sources</w:t>
      </w:r>
    </w:p>
    <w:p>
      <w:r>
        <w:rPr>
          <w:b/>
        </w:rPr>
        <w:t xml:space="preserve">When to show it: </w:t>
      </w:r>
      <w:r>
        <w:rPr>
          <w:b w:val="0"/>
        </w:rPr>
        <w:t>Not timed and no spoken text. Show it only if the teacher asks where a number comes from.</w:t>
      </w:r>
    </w:p>
    <w:p>
      <w:r>
        <w:rPr>
          <w:b/>
        </w:rPr>
        <w:t xml:space="preserve">On screen: </w:t>
      </w:r>
      <w:r>
        <w:rPr>
          <w:b w:val="0"/>
        </w:rPr>
        <w:t>Short APA list: DANE (2026), World Bank (2026), INS (2025, 2026), Rockefeller Foundation (2026), Universidad Icesi (2026), Gobernación del Valle (2024), Cámara de Comercio de Cali (2025, 2026), SECOP II (2026), Indeed (2026), MI.COM.CO (2026), BBVA Spark (2026), La República (2026), Rodríguez-Morales et al. (2024), Desjardins et al. (2020).</w:t>
      </w:r>
    </w:p>
    <w:p>
      <w:pPr>
        <w:pStyle w:val="Heading1"/>
      </w:pPr>
      <w:r>
        <w:t>Word count and estimated duration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Slide</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Time in the outline</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Length</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Words</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Estimated time at 130 wpm</w:t>
            </w:r>
          </w:p>
        </w:tc>
      </w:tr>
      <w:tr>
        <w:tc>
          <w:tcPr>
            <w:tcW w:type="dxa" w:w="1872"/>
          </w:tcPr>
          <w:p>
            <w:pPr>
              <w:spacing w:line="360" w:lineRule="auto" w:after="0"/>
            </w:pPr>
            <w:r>
              <w:rPr>
                <w:rFonts w:ascii="Times New Roman" w:hAnsi="Times New Roman"/>
                <w:color w:val="000000"/>
                <w:sz w:val="24"/>
              </w:rPr>
              <w:t>1</w:t>
            </w:r>
          </w:p>
        </w:tc>
        <w:tc>
          <w:tcPr>
            <w:tcW w:type="dxa" w:w="1872"/>
          </w:tcPr>
          <w:p>
            <w:pPr>
              <w:spacing w:line="360" w:lineRule="auto" w:after="0"/>
            </w:pPr>
            <w:r>
              <w:rPr>
                <w:rFonts w:ascii="Times New Roman" w:hAnsi="Times New Roman"/>
                <w:color w:val="000000"/>
                <w:sz w:val="24"/>
              </w:rPr>
              <w:t>0:00–0:20</w:t>
            </w:r>
          </w:p>
        </w:tc>
        <w:tc>
          <w:tcPr>
            <w:tcW w:type="dxa" w:w="1872"/>
          </w:tcPr>
          <w:p>
            <w:pPr>
              <w:spacing w:line="360" w:lineRule="auto" w:after="0"/>
            </w:pPr>
            <w:r>
              <w:rPr>
                <w:rFonts w:ascii="Times New Roman" w:hAnsi="Times New Roman"/>
                <w:color w:val="000000"/>
                <w:sz w:val="24"/>
              </w:rPr>
              <w:t>20 s</w:t>
            </w:r>
          </w:p>
        </w:tc>
        <w:tc>
          <w:tcPr>
            <w:tcW w:type="dxa" w:w="1872"/>
          </w:tcPr>
          <w:p>
            <w:pPr>
              <w:spacing w:line="360" w:lineRule="auto" w:after="0"/>
            </w:pPr>
            <w:r>
              <w:rPr>
                <w:rFonts w:ascii="Times New Roman" w:hAnsi="Times New Roman"/>
                <w:color w:val="000000"/>
                <w:sz w:val="24"/>
              </w:rPr>
              <w:t>44</w:t>
            </w:r>
          </w:p>
        </w:tc>
        <w:tc>
          <w:tcPr>
            <w:tcW w:type="dxa" w:w="1872"/>
          </w:tcPr>
          <w:p>
            <w:pPr>
              <w:spacing w:line="360" w:lineRule="auto" w:after="0"/>
            </w:pPr>
            <w:r>
              <w:rPr>
                <w:rFonts w:ascii="Times New Roman" w:hAnsi="Times New Roman"/>
                <w:color w:val="000000"/>
                <w:sz w:val="24"/>
              </w:rPr>
              <w:t>0:20</w:t>
            </w:r>
          </w:p>
        </w:tc>
      </w:tr>
      <w:tr>
        <w:tc>
          <w:tcPr>
            <w:tcW w:type="dxa" w:w="1872"/>
          </w:tcPr>
          <w:p>
            <w:pPr>
              <w:spacing w:line="360" w:lineRule="auto" w:after="0"/>
            </w:pPr>
            <w:r>
              <w:rPr>
                <w:rFonts w:ascii="Times New Roman" w:hAnsi="Times New Roman"/>
                <w:color w:val="000000"/>
                <w:sz w:val="24"/>
              </w:rPr>
              <w:t>2</w:t>
            </w:r>
          </w:p>
        </w:tc>
        <w:tc>
          <w:tcPr>
            <w:tcW w:type="dxa" w:w="1872"/>
          </w:tcPr>
          <w:p>
            <w:pPr>
              <w:spacing w:line="360" w:lineRule="auto" w:after="0"/>
            </w:pPr>
            <w:r>
              <w:rPr>
                <w:rFonts w:ascii="Times New Roman" w:hAnsi="Times New Roman"/>
                <w:color w:val="000000"/>
                <w:sz w:val="24"/>
              </w:rPr>
              <w:t>0:20–1:05</w:t>
            </w:r>
          </w:p>
        </w:tc>
        <w:tc>
          <w:tcPr>
            <w:tcW w:type="dxa" w:w="1872"/>
          </w:tcPr>
          <w:p>
            <w:pPr>
              <w:spacing w:line="360" w:lineRule="auto" w:after="0"/>
            </w:pPr>
            <w:r>
              <w:rPr>
                <w:rFonts w:ascii="Times New Roman" w:hAnsi="Times New Roman"/>
                <w:color w:val="000000"/>
                <w:sz w:val="24"/>
              </w:rPr>
              <w:t>45 s</w:t>
            </w:r>
          </w:p>
        </w:tc>
        <w:tc>
          <w:tcPr>
            <w:tcW w:type="dxa" w:w="1872"/>
          </w:tcPr>
          <w:p>
            <w:pPr>
              <w:spacing w:line="360" w:lineRule="auto" w:after="0"/>
            </w:pPr>
            <w:r>
              <w:rPr>
                <w:rFonts w:ascii="Times New Roman" w:hAnsi="Times New Roman"/>
                <w:color w:val="000000"/>
                <w:sz w:val="24"/>
              </w:rPr>
              <w:t>87</w:t>
            </w:r>
          </w:p>
        </w:tc>
        <w:tc>
          <w:tcPr>
            <w:tcW w:type="dxa" w:w="1872"/>
          </w:tcPr>
          <w:p>
            <w:pPr>
              <w:spacing w:line="360" w:lineRule="auto" w:after="0"/>
            </w:pPr>
            <w:r>
              <w:rPr>
                <w:rFonts w:ascii="Times New Roman" w:hAnsi="Times New Roman"/>
                <w:color w:val="000000"/>
                <w:sz w:val="24"/>
              </w:rPr>
              <w:t>0:40</w:t>
            </w:r>
          </w:p>
        </w:tc>
      </w:tr>
      <w:tr>
        <w:tc>
          <w:tcPr>
            <w:tcW w:type="dxa" w:w="1872"/>
          </w:tcPr>
          <w:p>
            <w:pPr>
              <w:spacing w:line="360" w:lineRule="auto" w:after="0"/>
            </w:pPr>
            <w:r>
              <w:rPr>
                <w:rFonts w:ascii="Times New Roman" w:hAnsi="Times New Roman"/>
                <w:color w:val="000000"/>
                <w:sz w:val="24"/>
              </w:rPr>
              <w:t>3</w:t>
            </w:r>
          </w:p>
        </w:tc>
        <w:tc>
          <w:tcPr>
            <w:tcW w:type="dxa" w:w="1872"/>
          </w:tcPr>
          <w:p>
            <w:pPr>
              <w:spacing w:line="360" w:lineRule="auto" w:after="0"/>
            </w:pPr>
            <w:r>
              <w:rPr>
                <w:rFonts w:ascii="Times New Roman" w:hAnsi="Times New Roman"/>
                <w:color w:val="000000"/>
                <w:sz w:val="24"/>
              </w:rPr>
              <w:t>1:05–1:55</w:t>
            </w:r>
          </w:p>
        </w:tc>
        <w:tc>
          <w:tcPr>
            <w:tcW w:type="dxa" w:w="1872"/>
          </w:tcPr>
          <w:p>
            <w:pPr>
              <w:spacing w:line="360" w:lineRule="auto" w:after="0"/>
            </w:pPr>
            <w:r>
              <w:rPr>
                <w:rFonts w:ascii="Times New Roman" w:hAnsi="Times New Roman"/>
                <w:color w:val="000000"/>
                <w:sz w:val="24"/>
              </w:rPr>
              <w:t>50 s</w:t>
            </w:r>
          </w:p>
        </w:tc>
        <w:tc>
          <w:tcPr>
            <w:tcW w:type="dxa" w:w="1872"/>
          </w:tcPr>
          <w:p>
            <w:pPr>
              <w:spacing w:line="360" w:lineRule="auto" w:after="0"/>
            </w:pPr>
            <w:r>
              <w:rPr>
                <w:rFonts w:ascii="Times New Roman" w:hAnsi="Times New Roman"/>
                <w:color w:val="000000"/>
                <w:sz w:val="24"/>
              </w:rPr>
              <w:t>98</w:t>
            </w:r>
          </w:p>
        </w:tc>
        <w:tc>
          <w:tcPr>
            <w:tcW w:type="dxa" w:w="1872"/>
          </w:tcPr>
          <w:p>
            <w:pPr>
              <w:spacing w:line="360" w:lineRule="auto" w:after="0"/>
            </w:pPr>
            <w:r>
              <w:rPr>
                <w:rFonts w:ascii="Times New Roman" w:hAnsi="Times New Roman"/>
                <w:color w:val="000000"/>
                <w:sz w:val="24"/>
              </w:rPr>
              <w:t>0:45</w:t>
            </w:r>
          </w:p>
        </w:tc>
      </w:tr>
      <w:tr>
        <w:tc>
          <w:tcPr>
            <w:tcW w:type="dxa" w:w="1872"/>
          </w:tcPr>
          <w:p>
            <w:pPr>
              <w:spacing w:line="360" w:lineRule="auto" w:after="0"/>
            </w:pPr>
            <w:r>
              <w:rPr>
                <w:rFonts w:ascii="Times New Roman" w:hAnsi="Times New Roman"/>
                <w:color w:val="000000"/>
                <w:sz w:val="24"/>
              </w:rPr>
              <w:t>4</w:t>
            </w:r>
          </w:p>
        </w:tc>
        <w:tc>
          <w:tcPr>
            <w:tcW w:type="dxa" w:w="1872"/>
          </w:tcPr>
          <w:p>
            <w:pPr>
              <w:spacing w:line="360" w:lineRule="auto" w:after="0"/>
            </w:pPr>
            <w:r>
              <w:rPr>
                <w:rFonts w:ascii="Times New Roman" w:hAnsi="Times New Roman"/>
                <w:color w:val="000000"/>
                <w:sz w:val="24"/>
              </w:rPr>
              <w:t>1:55–2:40</w:t>
            </w:r>
          </w:p>
        </w:tc>
        <w:tc>
          <w:tcPr>
            <w:tcW w:type="dxa" w:w="1872"/>
          </w:tcPr>
          <w:p>
            <w:pPr>
              <w:spacing w:line="360" w:lineRule="auto" w:after="0"/>
            </w:pPr>
            <w:r>
              <w:rPr>
                <w:rFonts w:ascii="Times New Roman" w:hAnsi="Times New Roman"/>
                <w:color w:val="000000"/>
                <w:sz w:val="24"/>
              </w:rPr>
              <w:t>45 s</w:t>
            </w:r>
          </w:p>
        </w:tc>
        <w:tc>
          <w:tcPr>
            <w:tcW w:type="dxa" w:w="1872"/>
          </w:tcPr>
          <w:p>
            <w:pPr>
              <w:spacing w:line="360" w:lineRule="auto" w:after="0"/>
            </w:pPr>
            <w:r>
              <w:rPr>
                <w:rFonts w:ascii="Times New Roman" w:hAnsi="Times New Roman"/>
                <w:color w:val="000000"/>
                <w:sz w:val="24"/>
              </w:rPr>
              <w:t>95</w:t>
            </w:r>
          </w:p>
        </w:tc>
        <w:tc>
          <w:tcPr>
            <w:tcW w:type="dxa" w:w="1872"/>
          </w:tcPr>
          <w:p>
            <w:pPr>
              <w:spacing w:line="360" w:lineRule="auto" w:after="0"/>
            </w:pPr>
            <w:r>
              <w:rPr>
                <w:rFonts w:ascii="Times New Roman" w:hAnsi="Times New Roman"/>
                <w:color w:val="000000"/>
                <w:sz w:val="24"/>
              </w:rPr>
              <w:t>0:44</w:t>
            </w:r>
          </w:p>
        </w:tc>
      </w:tr>
      <w:tr>
        <w:tc>
          <w:tcPr>
            <w:tcW w:type="dxa" w:w="1872"/>
          </w:tcPr>
          <w:p>
            <w:pPr>
              <w:spacing w:line="360" w:lineRule="auto" w:after="0"/>
            </w:pPr>
            <w:r>
              <w:rPr>
                <w:rFonts w:ascii="Times New Roman" w:hAnsi="Times New Roman"/>
                <w:color w:val="000000"/>
                <w:sz w:val="24"/>
              </w:rPr>
              <w:t>5</w:t>
            </w:r>
          </w:p>
        </w:tc>
        <w:tc>
          <w:tcPr>
            <w:tcW w:type="dxa" w:w="1872"/>
          </w:tcPr>
          <w:p>
            <w:pPr>
              <w:spacing w:line="360" w:lineRule="auto" w:after="0"/>
            </w:pPr>
            <w:r>
              <w:rPr>
                <w:rFonts w:ascii="Times New Roman" w:hAnsi="Times New Roman"/>
                <w:color w:val="000000"/>
                <w:sz w:val="24"/>
              </w:rPr>
              <w:t>2:40–3:35</w:t>
            </w:r>
          </w:p>
        </w:tc>
        <w:tc>
          <w:tcPr>
            <w:tcW w:type="dxa" w:w="1872"/>
          </w:tcPr>
          <w:p>
            <w:pPr>
              <w:spacing w:line="360" w:lineRule="auto" w:after="0"/>
            </w:pPr>
            <w:r>
              <w:rPr>
                <w:rFonts w:ascii="Times New Roman" w:hAnsi="Times New Roman"/>
                <w:color w:val="000000"/>
                <w:sz w:val="24"/>
              </w:rPr>
              <w:t>55 s</w:t>
            </w:r>
          </w:p>
        </w:tc>
        <w:tc>
          <w:tcPr>
            <w:tcW w:type="dxa" w:w="1872"/>
          </w:tcPr>
          <w:p>
            <w:pPr>
              <w:spacing w:line="360" w:lineRule="auto" w:after="0"/>
            </w:pPr>
            <w:r>
              <w:rPr>
                <w:rFonts w:ascii="Times New Roman" w:hAnsi="Times New Roman"/>
                <w:color w:val="000000"/>
                <w:sz w:val="24"/>
              </w:rPr>
              <w:t>121</w:t>
            </w:r>
          </w:p>
        </w:tc>
        <w:tc>
          <w:tcPr>
            <w:tcW w:type="dxa" w:w="1872"/>
          </w:tcPr>
          <w:p>
            <w:pPr>
              <w:spacing w:line="360" w:lineRule="auto" w:after="0"/>
            </w:pPr>
            <w:r>
              <w:rPr>
                <w:rFonts w:ascii="Times New Roman" w:hAnsi="Times New Roman"/>
                <w:color w:val="000000"/>
                <w:sz w:val="24"/>
              </w:rPr>
              <w:t>0:56</w:t>
            </w:r>
          </w:p>
        </w:tc>
      </w:tr>
      <w:tr>
        <w:tc>
          <w:tcPr>
            <w:tcW w:type="dxa" w:w="1872"/>
          </w:tcPr>
          <w:p>
            <w:pPr>
              <w:spacing w:line="360" w:lineRule="auto" w:after="0"/>
            </w:pPr>
            <w:r>
              <w:rPr>
                <w:rFonts w:ascii="Times New Roman" w:hAnsi="Times New Roman"/>
                <w:color w:val="000000"/>
                <w:sz w:val="24"/>
              </w:rPr>
              <w:t>6</w:t>
            </w:r>
          </w:p>
        </w:tc>
        <w:tc>
          <w:tcPr>
            <w:tcW w:type="dxa" w:w="1872"/>
          </w:tcPr>
          <w:p>
            <w:pPr>
              <w:spacing w:line="360" w:lineRule="auto" w:after="0"/>
            </w:pPr>
            <w:r>
              <w:rPr>
                <w:rFonts w:ascii="Times New Roman" w:hAnsi="Times New Roman"/>
                <w:color w:val="000000"/>
                <w:sz w:val="24"/>
              </w:rPr>
              <w:t>3:35–4:15</w:t>
            </w:r>
          </w:p>
        </w:tc>
        <w:tc>
          <w:tcPr>
            <w:tcW w:type="dxa" w:w="1872"/>
          </w:tcPr>
          <w:p>
            <w:pPr>
              <w:spacing w:line="360" w:lineRule="auto" w:after="0"/>
            </w:pPr>
            <w:r>
              <w:rPr>
                <w:rFonts w:ascii="Times New Roman" w:hAnsi="Times New Roman"/>
                <w:color w:val="000000"/>
                <w:sz w:val="24"/>
              </w:rPr>
              <w:t>40 s</w:t>
            </w:r>
          </w:p>
        </w:tc>
        <w:tc>
          <w:tcPr>
            <w:tcW w:type="dxa" w:w="1872"/>
          </w:tcPr>
          <w:p>
            <w:pPr>
              <w:spacing w:line="360" w:lineRule="auto" w:after="0"/>
            </w:pPr>
            <w:r>
              <w:rPr>
                <w:rFonts w:ascii="Times New Roman" w:hAnsi="Times New Roman"/>
                <w:color w:val="000000"/>
                <w:sz w:val="24"/>
              </w:rPr>
              <w:t>86</w:t>
            </w:r>
          </w:p>
        </w:tc>
        <w:tc>
          <w:tcPr>
            <w:tcW w:type="dxa" w:w="1872"/>
          </w:tcPr>
          <w:p>
            <w:pPr>
              <w:spacing w:line="360" w:lineRule="auto" w:after="0"/>
            </w:pPr>
            <w:r>
              <w:rPr>
                <w:rFonts w:ascii="Times New Roman" w:hAnsi="Times New Roman"/>
                <w:color w:val="000000"/>
                <w:sz w:val="24"/>
              </w:rPr>
              <w:t>0:40</w:t>
            </w:r>
          </w:p>
        </w:tc>
      </w:tr>
      <w:tr>
        <w:tc>
          <w:tcPr>
            <w:tcW w:type="dxa" w:w="1872"/>
          </w:tcPr>
          <w:p>
            <w:pPr>
              <w:spacing w:line="360" w:lineRule="auto" w:after="0"/>
            </w:pPr>
            <w:r>
              <w:rPr>
                <w:rFonts w:ascii="Times New Roman" w:hAnsi="Times New Roman"/>
                <w:color w:val="000000"/>
                <w:sz w:val="24"/>
              </w:rPr>
              <w:t>7</w:t>
            </w:r>
          </w:p>
        </w:tc>
        <w:tc>
          <w:tcPr>
            <w:tcW w:type="dxa" w:w="1872"/>
          </w:tcPr>
          <w:p>
            <w:pPr>
              <w:spacing w:line="360" w:lineRule="auto" w:after="0"/>
            </w:pPr>
            <w:r>
              <w:rPr>
                <w:rFonts w:ascii="Times New Roman" w:hAnsi="Times New Roman"/>
                <w:color w:val="000000"/>
                <w:sz w:val="24"/>
              </w:rPr>
              <w:t>4:15–5:20</w:t>
            </w:r>
          </w:p>
        </w:tc>
        <w:tc>
          <w:tcPr>
            <w:tcW w:type="dxa" w:w="1872"/>
          </w:tcPr>
          <w:p>
            <w:pPr>
              <w:spacing w:line="360" w:lineRule="auto" w:after="0"/>
            </w:pPr>
            <w:r>
              <w:rPr>
                <w:rFonts w:ascii="Times New Roman" w:hAnsi="Times New Roman"/>
                <w:color w:val="000000"/>
                <w:sz w:val="24"/>
              </w:rPr>
              <w:t>65 s</w:t>
            </w:r>
          </w:p>
        </w:tc>
        <w:tc>
          <w:tcPr>
            <w:tcW w:type="dxa" w:w="1872"/>
          </w:tcPr>
          <w:p>
            <w:pPr>
              <w:spacing w:line="360" w:lineRule="auto" w:after="0"/>
            </w:pPr>
            <w:r>
              <w:rPr>
                <w:rFonts w:ascii="Times New Roman" w:hAnsi="Times New Roman"/>
                <w:color w:val="000000"/>
                <w:sz w:val="24"/>
              </w:rPr>
              <w:t>141</w:t>
            </w:r>
          </w:p>
        </w:tc>
        <w:tc>
          <w:tcPr>
            <w:tcW w:type="dxa" w:w="1872"/>
          </w:tcPr>
          <w:p>
            <w:pPr>
              <w:spacing w:line="360" w:lineRule="auto" w:after="0"/>
            </w:pPr>
            <w:r>
              <w:rPr>
                <w:rFonts w:ascii="Times New Roman" w:hAnsi="Times New Roman"/>
                <w:color w:val="000000"/>
                <w:sz w:val="24"/>
              </w:rPr>
              <w:t>1:05</w:t>
            </w:r>
          </w:p>
        </w:tc>
      </w:tr>
      <w:tr>
        <w:tc>
          <w:tcPr>
            <w:tcW w:type="dxa" w:w="1872"/>
          </w:tcPr>
          <w:p>
            <w:pPr>
              <w:spacing w:line="360" w:lineRule="auto" w:after="0"/>
            </w:pPr>
            <w:r>
              <w:rPr>
                <w:rFonts w:ascii="Times New Roman" w:hAnsi="Times New Roman"/>
                <w:color w:val="000000"/>
                <w:sz w:val="24"/>
              </w:rPr>
              <w:t>8</w:t>
            </w:r>
          </w:p>
        </w:tc>
        <w:tc>
          <w:tcPr>
            <w:tcW w:type="dxa" w:w="1872"/>
          </w:tcPr>
          <w:p>
            <w:pPr>
              <w:spacing w:line="360" w:lineRule="auto" w:after="0"/>
            </w:pPr>
            <w:r>
              <w:rPr>
                <w:rFonts w:ascii="Times New Roman" w:hAnsi="Times New Roman"/>
                <w:color w:val="000000"/>
                <w:sz w:val="24"/>
              </w:rPr>
              <w:t>5:20–6:35</w:t>
            </w:r>
          </w:p>
        </w:tc>
        <w:tc>
          <w:tcPr>
            <w:tcW w:type="dxa" w:w="1872"/>
          </w:tcPr>
          <w:p>
            <w:pPr>
              <w:spacing w:line="360" w:lineRule="auto" w:after="0"/>
            </w:pPr>
            <w:r>
              <w:rPr>
                <w:rFonts w:ascii="Times New Roman" w:hAnsi="Times New Roman"/>
                <w:color w:val="000000"/>
                <w:sz w:val="24"/>
              </w:rPr>
              <w:t>75 s</w:t>
            </w:r>
          </w:p>
        </w:tc>
        <w:tc>
          <w:tcPr>
            <w:tcW w:type="dxa" w:w="1872"/>
          </w:tcPr>
          <w:p>
            <w:pPr>
              <w:spacing w:line="360" w:lineRule="auto" w:after="0"/>
            </w:pPr>
            <w:r>
              <w:rPr>
                <w:rFonts w:ascii="Times New Roman" w:hAnsi="Times New Roman"/>
                <w:color w:val="000000"/>
                <w:sz w:val="24"/>
              </w:rPr>
              <w:t>172</w:t>
            </w:r>
          </w:p>
        </w:tc>
        <w:tc>
          <w:tcPr>
            <w:tcW w:type="dxa" w:w="1872"/>
          </w:tcPr>
          <w:p>
            <w:pPr>
              <w:spacing w:line="360" w:lineRule="auto" w:after="0"/>
            </w:pPr>
            <w:r>
              <w:rPr>
                <w:rFonts w:ascii="Times New Roman" w:hAnsi="Times New Roman"/>
                <w:color w:val="000000"/>
                <w:sz w:val="24"/>
              </w:rPr>
              <w:t>1:19</w:t>
            </w:r>
          </w:p>
        </w:tc>
      </w:tr>
      <w:tr>
        <w:tc>
          <w:tcPr>
            <w:tcW w:type="dxa" w:w="1872"/>
          </w:tcPr>
          <w:p>
            <w:pPr>
              <w:spacing w:line="360" w:lineRule="auto" w:after="0"/>
            </w:pPr>
            <w:r>
              <w:rPr>
                <w:rFonts w:ascii="Times New Roman" w:hAnsi="Times New Roman"/>
                <w:color w:val="000000"/>
                <w:sz w:val="24"/>
              </w:rPr>
              <w:t>9</w:t>
            </w:r>
          </w:p>
        </w:tc>
        <w:tc>
          <w:tcPr>
            <w:tcW w:type="dxa" w:w="1872"/>
          </w:tcPr>
          <w:p>
            <w:pPr>
              <w:spacing w:line="360" w:lineRule="auto" w:after="0"/>
            </w:pPr>
            <w:r>
              <w:rPr>
                <w:rFonts w:ascii="Times New Roman" w:hAnsi="Times New Roman"/>
                <w:color w:val="000000"/>
                <w:sz w:val="24"/>
              </w:rPr>
              <w:t>6:35–7:35</w:t>
            </w:r>
          </w:p>
        </w:tc>
        <w:tc>
          <w:tcPr>
            <w:tcW w:type="dxa" w:w="1872"/>
          </w:tcPr>
          <w:p>
            <w:pPr>
              <w:spacing w:line="360" w:lineRule="auto" w:after="0"/>
            </w:pPr>
            <w:r>
              <w:rPr>
                <w:rFonts w:ascii="Times New Roman" w:hAnsi="Times New Roman"/>
                <w:color w:val="000000"/>
                <w:sz w:val="24"/>
              </w:rPr>
              <w:t>60 s</w:t>
            </w:r>
          </w:p>
        </w:tc>
        <w:tc>
          <w:tcPr>
            <w:tcW w:type="dxa" w:w="1872"/>
          </w:tcPr>
          <w:p>
            <w:pPr>
              <w:spacing w:line="360" w:lineRule="auto" w:after="0"/>
            </w:pPr>
            <w:r>
              <w:rPr>
                <w:rFonts w:ascii="Times New Roman" w:hAnsi="Times New Roman"/>
                <w:color w:val="000000"/>
                <w:sz w:val="24"/>
              </w:rPr>
              <w:t>133</w:t>
            </w:r>
          </w:p>
        </w:tc>
        <w:tc>
          <w:tcPr>
            <w:tcW w:type="dxa" w:w="1872"/>
          </w:tcPr>
          <w:p>
            <w:pPr>
              <w:spacing w:line="360" w:lineRule="auto" w:after="0"/>
            </w:pPr>
            <w:r>
              <w:rPr>
                <w:rFonts w:ascii="Times New Roman" w:hAnsi="Times New Roman"/>
                <w:color w:val="000000"/>
                <w:sz w:val="24"/>
              </w:rPr>
              <w:t>1:01</w:t>
            </w:r>
          </w:p>
        </w:tc>
      </w:tr>
      <w:tr>
        <w:tc>
          <w:tcPr>
            <w:tcW w:type="dxa" w:w="1872"/>
          </w:tcPr>
          <w:p>
            <w:pPr>
              <w:spacing w:line="360" w:lineRule="auto" w:after="0"/>
            </w:pPr>
            <w:r>
              <w:rPr>
                <w:rFonts w:ascii="Times New Roman" w:hAnsi="Times New Roman"/>
                <w:color w:val="000000"/>
                <w:sz w:val="24"/>
              </w:rPr>
              <w:t>10</w:t>
            </w:r>
          </w:p>
        </w:tc>
        <w:tc>
          <w:tcPr>
            <w:tcW w:type="dxa" w:w="1872"/>
          </w:tcPr>
          <w:p>
            <w:pPr>
              <w:spacing w:line="360" w:lineRule="auto" w:after="0"/>
            </w:pPr>
            <w:r>
              <w:rPr>
                <w:rFonts w:ascii="Times New Roman" w:hAnsi="Times New Roman"/>
                <w:color w:val="000000"/>
                <w:sz w:val="24"/>
              </w:rPr>
              <w:t>7:35–8:20</w:t>
            </w:r>
          </w:p>
        </w:tc>
        <w:tc>
          <w:tcPr>
            <w:tcW w:type="dxa" w:w="1872"/>
          </w:tcPr>
          <w:p>
            <w:pPr>
              <w:spacing w:line="360" w:lineRule="auto" w:after="0"/>
            </w:pPr>
            <w:r>
              <w:rPr>
                <w:rFonts w:ascii="Times New Roman" w:hAnsi="Times New Roman"/>
                <w:color w:val="000000"/>
                <w:sz w:val="24"/>
              </w:rPr>
              <w:t>45 s</w:t>
            </w:r>
          </w:p>
        </w:tc>
        <w:tc>
          <w:tcPr>
            <w:tcW w:type="dxa" w:w="1872"/>
          </w:tcPr>
          <w:p>
            <w:pPr>
              <w:spacing w:line="360" w:lineRule="auto" w:after="0"/>
            </w:pPr>
            <w:r>
              <w:rPr>
                <w:rFonts w:ascii="Times New Roman" w:hAnsi="Times New Roman"/>
                <w:color w:val="000000"/>
                <w:sz w:val="24"/>
              </w:rPr>
              <w:t>92</w:t>
            </w:r>
          </w:p>
        </w:tc>
        <w:tc>
          <w:tcPr>
            <w:tcW w:type="dxa" w:w="1872"/>
          </w:tcPr>
          <w:p>
            <w:pPr>
              <w:spacing w:line="360" w:lineRule="auto" w:after="0"/>
            </w:pPr>
            <w:r>
              <w:rPr>
                <w:rFonts w:ascii="Times New Roman" w:hAnsi="Times New Roman"/>
                <w:color w:val="000000"/>
                <w:sz w:val="24"/>
              </w:rPr>
              <w:t>0:42</w:t>
            </w:r>
          </w:p>
        </w:tc>
      </w:tr>
      <w:tr>
        <w:tc>
          <w:tcPr>
            <w:tcW w:type="dxa" w:w="1872"/>
          </w:tcPr>
          <w:p>
            <w:pPr>
              <w:spacing w:line="360" w:lineRule="auto" w:after="0"/>
            </w:pPr>
            <w:r>
              <w:rPr>
                <w:rFonts w:ascii="Times New Roman" w:hAnsi="Times New Roman"/>
                <w:color w:val="000000"/>
                <w:sz w:val="24"/>
              </w:rPr>
              <w:t>11</w:t>
            </w:r>
          </w:p>
        </w:tc>
        <w:tc>
          <w:tcPr>
            <w:tcW w:type="dxa" w:w="1872"/>
          </w:tcPr>
          <w:p>
            <w:pPr>
              <w:spacing w:line="360" w:lineRule="auto" w:after="0"/>
            </w:pPr>
            <w:r>
              <w:rPr>
                <w:rFonts w:ascii="Times New Roman" w:hAnsi="Times New Roman"/>
                <w:color w:val="000000"/>
                <w:sz w:val="24"/>
              </w:rPr>
              <w:t>8:20–9:15</w:t>
            </w:r>
          </w:p>
        </w:tc>
        <w:tc>
          <w:tcPr>
            <w:tcW w:type="dxa" w:w="1872"/>
          </w:tcPr>
          <w:p>
            <w:pPr>
              <w:spacing w:line="360" w:lineRule="auto" w:after="0"/>
            </w:pPr>
            <w:r>
              <w:rPr>
                <w:rFonts w:ascii="Times New Roman" w:hAnsi="Times New Roman"/>
                <w:color w:val="000000"/>
                <w:sz w:val="24"/>
              </w:rPr>
              <w:t>55 s</w:t>
            </w:r>
          </w:p>
        </w:tc>
        <w:tc>
          <w:tcPr>
            <w:tcW w:type="dxa" w:w="1872"/>
          </w:tcPr>
          <w:p>
            <w:pPr>
              <w:spacing w:line="360" w:lineRule="auto" w:after="0"/>
            </w:pPr>
            <w:r>
              <w:rPr>
                <w:rFonts w:ascii="Times New Roman" w:hAnsi="Times New Roman"/>
                <w:color w:val="000000"/>
                <w:sz w:val="24"/>
              </w:rPr>
              <w:t>118</w:t>
            </w:r>
          </w:p>
        </w:tc>
        <w:tc>
          <w:tcPr>
            <w:tcW w:type="dxa" w:w="1872"/>
          </w:tcPr>
          <w:p>
            <w:pPr>
              <w:spacing w:line="360" w:lineRule="auto" w:after="0"/>
            </w:pPr>
            <w:r>
              <w:rPr>
                <w:rFonts w:ascii="Times New Roman" w:hAnsi="Times New Roman"/>
                <w:color w:val="000000"/>
                <w:sz w:val="24"/>
              </w:rPr>
              <w:t>0:54</w:t>
            </w:r>
          </w:p>
        </w:tc>
      </w:tr>
      <w:tr>
        <w:tc>
          <w:tcPr>
            <w:tcW w:type="dxa" w:w="1872"/>
          </w:tcPr>
          <w:p>
            <w:pPr>
              <w:spacing w:line="360" w:lineRule="auto" w:after="0"/>
            </w:pPr>
            <w:r>
              <w:rPr>
                <w:rFonts w:ascii="Times New Roman" w:hAnsi="Times New Roman"/>
                <w:color w:val="000000"/>
                <w:sz w:val="24"/>
              </w:rPr>
              <w:t>12</w:t>
            </w:r>
          </w:p>
        </w:tc>
        <w:tc>
          <w:tcPr>
            <w:tcW w:type="dxa" w:w="1872"/>
          </w:tcPr>
          <w:p>
            <w:pPr>
              <w:spacing w:line="360" w:lineRule="auto" w:after="0"/>
            </w:pPr>
            <w:r>
              <w:rPr>
                <w:rFonts w:ascii="Times New Roman" w:hAnsi="Times New Roman"/>
                <w:color w:val="000000"/>
                <w:sz w:val="24"/>
              </w:rPr>
              <w:t>9:15–9:45</w:t>
            </w:r>
          </w:p>
        </w:tc>
        <w:tc>
          <w:tcPr>
            <w:tcW w:type="dxa" w:w="1872"/>
          </w:tcPr>
          <w:p>
            <w:pPr>
              <w:spacing w:line="360" w:lineRule="auto" w:after="0"/>
            </w:pPr>
            <w:r>
              <w:rPr>
                <w:rFonts w:ascii="Times New Roman" w:hAnsi="Times New Roman"/>
                <w:color w:val="000000"/>
                <w:sz w:val="24"/>
              </w:rPr>
              <w:t>30 s</w:t>
            </w:r>
          </w:p>
        </w:tc>
        <w:tc>
          <w:tcPr>
            <w:tcW w:type="dxa" w:w="1872"/>
          </w:tcPr>
          <w:p>
            <w:pPr>
              <w:spacing w:line="360" w:lineRule="auto" w:after="0"/>
            </w:pPr>
            <w:r>
              <w:rPr>
                <w:rFonts w:ascii="Times New Roman" w:hAnsi="Times New Roman"/>
                <w:color w:val="000000"/>
                <w:sz w:val="24"/>
              </w:rPr>
              <w:t>59</w:t>
            </w:r>
          </w:p>
        </w:tc>
        <w:tc>
          <w:tcPr>
            <w:tcW w:type="dxa" w:w="1872"/>
          </w:tcPr>
          <w:p>
            <w:pPr>
              <w:spacing w:line="360" w:lineRule="auto" w:after="0"/>
            </w:pPr>
            <w:r>
              <w:rPr>
                <w:rFonts w:ascii="Times New Roman" w:hAnsi="Times New Roman"/>
                <w:color w:val="000000"/>
                <w:sz w:val="24"/>
              </w:rPr>
              <w:t>0:27</w:t>
            </w:r>
          </w:p>
        </w:tc>
      </w:tr>
      <w:tr>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Total</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0:00–9:45</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585 s</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1246</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9:35</w:t>
            </w:r>
          </w:p>
        </w:tc>
      </w:tr>
    </w:tbl>
    <w:p/>
    <w:p>
      <w:r>
        <w:rPr>
          <w:b w:val="0"/>
        </w:rPr>
        <w:t>The script has 1246 words. At 130 words per minute it takes about 9:35, inside the 9:30–10:00 target (the outline plans 9:45). Numbers take longer to say than to write (for example, “312,643” is seven spoken words), so the spoken length is about 1332 words, or about 10:15. If your timed rehearsal goes over 10:00, cut these first, because the numbers are already on screen: the 2.5% growth sentence (slide 3), the CONPES sentence (slide 4) and the AEDES sentence (slide 8).</w:t>
      </w:r>
    </w:p>
    <w:p>
      <w:pPr>
        <w:pStyle w:val="Heading1"/>
      </w:pPr>
      <w:r>
        <w:t>Possible questions from the teacher</w:t>
      </w:r>
    </w:p>
    <w:p>
      <w:pPr>
        <w:keepNext/>
        <w:spacing w:after="0"/>
      </w:pPr>
      <w:r>
        <w:rPr>
          <w:b/>
        </w:rPr>
        <w:t>1. If DengueIA already exists, why AedesAlert?</w:t>
      </w:r>
    </w:p>
    <w:p>
      <w:r>
        <w:rPr>
          <w:b w:val="0"/>
        </w:rPr>
        <w:t>DengueIA works in Cali. It covers 174 zones of 1 square kilometer, with about 2.2 million people. The Icesi note does not mention open code, open data or other municipalities. AedesAlert is for the other 8 very-high-risk municipalities of Valle. It is open and easy to replicate. I do not say it is more accurate than DengueIA. It is a complement, not a competitor. In the future, we could exchange methods with the DengueIA team, but there is no agreement yet.</w:t>
      </w:r>
    </w:p>
    <w:p>
      <w:pPr>
        <w:keepNext/>
        <w:spacing w:after="0"/>
      </w:pPr>
      <w:r>
        <w:rPr>
          <w:b/>
        </w:rPr>
        <w:t>2. Who will pay?</w:t>
      </w:r>
    </w:p>
    <w:p>
      <w:r>
        <w:rPr>
          <w:b w:val="0"/>
        </w:rPr>
        <w:t>The main customers are the health secretariats of the 8 very-high-risk municipalities. They pay for setup, training and yearly support, through SECOP II and direct contracting. The Valle health secretariat is also a customer and an ally. It already hired professional services for a dengue project: 40.5 million pesos in January 2022. Clinics and insurers are only a hypothesis, and the price per municipality is to be validated.</w:t>
      </w:r>
    </w:p>
    <w:p>
      <w:pPr>
        <w:keepNext/>
        <w:spacing w:after="0"/>
      </w:pPr>
      <w:r>
        <w:rPr>
          <w:b/>
        </w:rPr>
        <w:t>3. Where does the data come from?</w:t>
      </w:r>
    </w:p>
    <w:p>
      <w:r>
        <w:rPr>
          <w:b w:val="0"/>
        </w:rPr>
        <w:t>Dengue cases come from SIVIGILA, the national surveillance system. Weather data come from NASA POWER, which is free. Case data by comuna may need a data agreement with each secretariat. That is a risk I need to confirm. Health data are sensitive under Law 1581 of 2012, so I only use aggregated, anonymized data.</w:t>
      </w:r>
    </w:p>
    <w:p>
      <w:pPr>
        <w:keepNext/>
        <w:spacing w:after="0"/>
      </w:pPr>
      <w:r>
        <w:rPr>
          <w:b/>
        </w:rPr>
        <w:t>4. How accurate is it?</w:t>
      </w:r>
    </w:p>
    <w:p>
      <w:r>
        <w:rPr>
          <w:b w:val="0"/>
        </w:rPr>
        <w:t>I do not have an accuracy number yet, because I have not trained the model. The 93% is DengueIA's reported effectiveness, not mine. My plan is to compare Random Forest and XGBoost with SARIMA. If the AI model does not beat the classic model, it is not worth using. There is good evidence for Cali: weather from 2 to 5 weeks before helps predict dengue by neighborhood.</w:t>
      </w:r>
    </w:p>
    <w:p>
      <w:pPr>
        <w:keepNext/>
        <w:spacing w:after="0"/>
      </w:pPr>
      <w:r>
        <w:rPr>
          <w:b/>
        </w:rPr>
        <w:t>5. What does it cost?</w:t>
      </w:r>
    </w:p>
    <w:p>
      <w:r>
        <w:rPr>
          <w:b w:val="0"/>
        </w:rPr>
        <w:t>The infrastructure costs 0 pesos, because NASA POWER, GitHub and Streamlit are free. The prototype costs about 0 to 150,000 pesos a year. A 6-month pilot with one person costs about 13.2 million pesos, plus travel. This is an estimate, based on a salary of about 2.2 million pesos a month, from a small sample.</w:t>
      </w:r>
    </w:p>
    <w:p>
      <w:pPr>
        <w:keepNext/>
        <w:spacing w:after="0"/>
      </w:pPr>
      <w:r>
        <w:rPr>
          <w:b/>
        </w:rPr>
        <w:t>6. If the code is free, how is it sustainable?</w:t>
      </w:r>
    </w:p>
    <w:p>
      <w:r>
        <w:rPr>
          <w:b w:val="0"/>
        </w:rPr>
        <w:t>The code and the public map stay free. The money comes from services: setup, training and yearly support. There is also project funding. The SGR gives 10% of royalties to science and technology. And international donors fund open tools: in 2023, Wellcome gave 22.7 million pounds to 24 teams in 12 countries. Fondo Emprender is another option for seed capital.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eastAsia="Times New Roman" w:cs="Times New Roman"/>
      <w:i w:val="0"/>
      <w:color w:val="000000"/>
      <w:sz w:val="24"/>
      <w:lang w:val="en-US" w:eastAsia="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cstheme="majorBidi"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60" w:lineRule="auto" w:before="240"/>
      <w:contextualSpacing/>
    </w:pPr>
    <w:rPr>
      <w:rFonts w:cstheme="majorBidi" w:ascii="Times New Roman" w:hAnsi="Times New Roman" w:eastAsia="Times New Roman" w:cs="Times New Roman"/>
      <w:b/>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120" w:line="360" w:lineRule="auto" w:before="0"/>
    </w:pPr>
    <w:rPr>
      <w:rFonts w:ascii="Times New Roman" w:hAnsi="Times New Roman" w:eastAsia="Times New Roman" w:cs="Times New Roman"/>
      <w:i w:val="0"/>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 Business Model Canvas presentation · AedesAlert Cali</dc:title>
  <dc:subject/>
  <dc:creator>Juan Diego Nieto</dc:creator>
  <cp:keywords/>
  <dc:description>generated by python-docx</dc:description>
  <cp:lastModifiedBy/>
  <cp:revision>1</cp:revision>
  <dcterms:created xsi:type="dcterms:W3CDTF">2013-12-23T23:15:00Z</dcterms:created>
  <dcterms:modified xsi:type="dcterms:W3CDTF">2013-12-23T23:15:00Z</dcterms:modified>
  <cp:category/>
</cp:coreProperties>
</file>