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t>Guion de la presentación</w:t>
      </w:r>
    </w:p>
    <w:p>
      <w:pPr>
        <w:jc w:val="center"/>
      </w:pPr>
      <w:r>
        <w:rPr>
          <w:b w:val="0"/>
        </w:rPr>
        <w:t>AedesAlert Cali: validación regional</w:t>
      </w:r>
    </w:p>
    <w:p>
      <w:pPr>
        <w:jc w:val="center"/>
      </w:pPr>
    </w:p>
    <w:p>
      <w:pPr>
        <w:jc w:val="center"/>
      </w:pPr>
      <w:r>
        <w:rPr>
          <w:b w:val="0"/>
        </w:rPr>
        <w:t>Juan Diego Nieto</w:t>
      </w:r>
    </w:p>
    <w:p>
      <w:pPr>
        <w:jc w:val="center"/>
      </w:pPr>
      <w:r>
        <w:rPr>
          <w:b w:val="0"/>
        </w:rPr>
        <w:t>Curso: Ideación, Emprendimiento y Desarrollo Tecnológico</w:t>
      </w:r>
    </w:p>
    <w:p>
      <w:pPr>
        <w:jc w:val="center"/>
      </w:pPr>
      <w:r>
        <w:rPr>
          <w:b w:val="0"/>
        </w:rPr>
        <w:t>Ingeniería de Sistemas</w:t>
      </w:r>
    </w:p>
    <w:p>
      <w:pPr>
        <w:jc w:val="center"/>
      </w:pPr>
      <w:r>
        <w:rPr>
          <w:b w:val="0"/>
        </w:rPr>
        <w:t>Universidad Cooperativa de Colombia, sede Cali</w:t>
      </w:r>
    </w:p>
    <w:p>
      <w:pPr>
        <w:jc w:val="center"/>
      </w:pPr>
      <w:r>
        <w:rPr>
          <w:b w:val="0"/>
        </w:rPr>
        <w:t>Octubre de 2026</w:t>
        <w:br w:type="page"/>
      </w:r>
    </w:p>
    <w:p>
      <w:pPr>
        <w:pStyle w:val="Heading1"/>
      </w:pPr>
      <w:r>
        <w:t>Cómo usar este guion</w:t>
      </w:r>
    </w:p>
    <w:p>
      <w:r>
        <w:rPr>
          <w:b w:val="0"/>
        </w:rPr>
        <w:t>Exposición de unos 8 minutos con 8 diapositivas, más una de respaldo (R) que no cuenta en el tiempo. Cada bloque trae el rango de tiempo de la escaleta, el texto para decir en voz alta y lo que se ve en pantalla. El ritmo de referencia es de unas 130 palabras por minuto. Las cifras en pantalla pueden ser más que las que se dicen: no hace falta leerlas todas.</w:t>
      </w:r>
    </w:p>
    <w:p>
      <w:pPr>
        <w:pStyle w:val="Heading2"/>
      </w:pPr>
      <w:r>
        <w:t>Diapositiva 1 · AedesAlert Cali: validación regional</w:t>
      </w:r>
    </w:p>
    <w:p>
      <w:pPr>
        <w:keepNext/>
      </w:pPr>
      <w:r>
        <w:rPr>
          <w:b/>
        </w:rPr>
        <w:t xml:space="preserve">Tiempo: </w:t>
      </w:r>
      <w:r>
        <w:rPr>
          <w:b w:val="0"/>
        </w:rPr>
        <w:t>0:00–0:20 (20 s) · 45 palabras</w:t>
      </w:r>
    </w:p>
    <w:p>
      <w:pPr>
        <w:keepNext/>
        <w:keepLines/>
      </w:pPr>
      <w:r>
        <w:rPr>
          <w:b w:val="0"/>
        </w:rPr>
        <w:t>Hola a todos. Soy Juan Diego Nieto y les presento AedesAlert Cali, una herramienta de inteligencia artificial para anticipar el riesgo de dengue. Hoy la evalúo con los cuatro criterios de validación regional del curso: sector económico, impacto, políticas de fomento y apoyo del ecosistema.</w:t>
      </w:r>
    </w:p>
    <w:p>
      <w:r>
        <w:rPr>
          <w:b/>
        </w:rPr>
        <w:t xml:space="preserve">En pantalla: </w:t>
      </w:r>
      <w:r>
        <w:rPr>
          <w:b w:val="0"/>
        </w:rPr>
        <w:t>Título de la idea, mi nombre, el curso, UCC Cali, octubre de 2026 y los cuatro criterios como índice.</w:t>
      </w:r>
    </w:p>
    <w:p>
      <w:pPr>
        <w:pStyle w:val="Heading2"/>
      </w:pPr>
      <w:r>
        <w:t>Diapositiva 2 · La idea: un complemento abierto de DengueIA</w:t>
      </w:r>
    </w:p>
    <w:p>
      <w:pPr>
        <w:keepNext/>
      </w:pPr>
      <w:r>
        <w:rPr>
          <w:b/>
        </w:rPr>
        <w:t xml:space="preserve">Tiempo: </w:t>
      </w:r>
      <w:r>
        <w:rPr>
          <w:b w:val="0"/>
        </w:rPr>
        <w:t>0:20–1:30 (70 s) · 147 palabras</w:t>
      </w:r>
    </w:p>
    <w:p>
      <w:pPr>
        <w:keepNext/>
        <w:keepLines/>
      </w:pPr>
      <w:r>
        <w:rPr>
          <w:b w:val="0"/>
        </w:rPr>
        <w:t>Empiezo por algo que encontré al investigar: desde mayo de 2026, la Secretaría de Salud Pública de Cali usa DengueIA, una herramienta hecha con Icesi, Univalle y la Fundación Rockefeller. Anticipa el riesgo hasta con tres semanas, con un 93 % de efectividad reportada. Eso no le quita sentido a mi idea; al contrario, prueba que anticipar el dengue con datos funciona.</w:t>
      </w:r>
    </w:p>
    <w:p>
      <w:pPr>
        <w:keepNext/>
        <w:keepLines/>
      </w:pPr>
      <w:r>
        <w:rPr>
          <w:b w:val="0"/>
        </w:rPr>
        <w:t>AedesAlert lo complementa. Cruza los casos de dengue que se reportan al SIVIGILA, el sistema nacional de vigilancia, con datos de lluvia, temperatura y humedad de NASA POWER. Compara modelos de aprendizaje automático con un modelo estadístico clásico como referencia. El resultado es un mapa semáforo por comuna que se actualiza cada semana. La diferencia es que todo es abierto: datos abiertos y código libre. Lo pruebo con las 22 comunas de Cali para llevarlo a los otros ocho municipios del Valle en riesgo muy alto.</w:t>
      </w:r>
    </w:p>
    <w:p>
      <w:r>
        <w:rPr>
          <w:b/>
        </w:rPr>
        <w:t xml:space="preserve">En pantalla: </w:t>
      </w:r>
      <w:r>
        <w:rPr>
          <w:b w:val="0"/>
        </w:rPr>
        <w:t>Flujo SIVIGILA + NASA POWER → Random Forest/XGBoost frente a SARIMA → mapa semáforo por comuna. DengueIA: 93 % de efectividad reportada, hasta 3 semanas, 174 zonas de 1 km². AedesAlert: 22 comunas, datos abiertos, código libre, otros 8 municipios en riesgo muy alto.</w:t>
      </w:r>
    </w:p>
    <w:p>
      <w:pPr>
        <w:pStyle w:val="Heading2"/>
      </w:pPr>
      <w:r>
        <w:t>Diapositiva 3 · Criterio 1 · Caracterización económica</w:t>
      </w:r>
    </w:p>
    <w:p>
      <w:pPr>
        <w:keepNext/>
      </w:pPr>
      <w:r>
        <w:rPr>
          <w:b/>
        </w:rPr>
        <w:t xml:space="preserve">Tiempo: </w:t>
      </w:r>
      <w:r>
        <w:rPr>
          <w:b w:val="0"/>
        </w:rPr>
        <w:t>1:30–2:45 (75 s) · 166 palabras</w:t>
      </w:r>
    </w:p>
    <w:p>
      <w:pPr>
        <w:keepNext/>
        <w:keepLines/>
      </w:pPr>
      <w:r>
        <w:rPr>
          <w:b w:val="0"/>
        </w:rPr>
        <w:t>Primer criterio: caracterización económica. AedesAlert transforma el sector salud, en su segmento HealthTech, es decir, tecnología aplicada a la salud, y lo hace con capacidades del sector de tecnología.</w:t>
      </w:r>
    </w:p>
    <w:p>
      <w:pPr>
        <w:keepNext/>
        <w:keepLines/>
      </w:pPr>
      <w:r>
        <w:rPr>
          <w:b w:val="0"/>
        </w:rPr>
        <w:t>¿Por qué importa? El Valle es la tercera economía del país, con cerca del 9,8 % del producto interno bruto, según cifras preliminares de 2025. El Clúster de Excelencia Clínica de la Cámara de Comercio de Cali reunía 528 empresas en 2023, y una de sus líneas es justamente «Modelos de negocio HealthTech», que la Cámara priorizó en 2025. Además, la Cámara midió que las instituciones de salud de la región tienen una madurez digital intermedia: 2,42 sobre 5. Ahí hay una brecha que esta idea ayuda a cerrar. Y el talento existe: el empleo en tecnología del Valle creció en promedio 7,2 % entre 2019 y 2023, frente a 4,9 % en el país.</w:t>
      </w:r>
    </w:p>
    <w:p>
      <w:pPr>
        <w:keepNext/>
        <w:keepLines/>
      </w:pPr>
      <w:r>
        <w:rPr>
          <w:b w:val="0"/>
        </w:rPr>
        <w:t>Como el clúster se enfoca en clínicas privadas, mi vínculo pasa por esa línea HealthTech y por usuarios como IPS, EPS y laboratorios. Puntaje: 5.</w:t>
      </w:r>
    </w:p>
    <w:p>
      <w:r>
        <w:rPr>
          <w:b/>
        </w:rPr>
        <w:t xml:space="preserve">En pantalla: </w:t>
      </w:r>
      <w:r>
        <w:rPr>
          <w:b w:val="0"/>
        </w:rPr>
        <w:t>3.ª economía del país, ≈9,8 % del PIB (2025pr); Clúster de Excelencia Clínica: 528 empresas (2023), línea HealthTech; madurez digital 2,42/5; empleo TIC +7,2 % frente a +4,9 % promedio (2019-2023). Puntaje 5.</w:t>
      </w:r>
    </w:p>
    <w:p>
      <w:pPr>
        <w:pStyle w:val="Heading2"/>
      </w:pPr>
      <w:r>
        <w:t>Diapositiva 4 · Criterio 2 · Impacto social o técnico</w:t>
      </w:r>
    </w:p>
    <w:p>
      <w:pPr>
        <w:keepNext/>
      </w:pPr>
      <w:r>
        <w:rPr>
          <w:b/>
        </w:rPr>
        <w:t xml:space="preserve">Tiempo: </w:t>
      </w:r>
      <w:r>
        <w:rPr>
          <w:b w:val="0"/>
        </w:rPr>
        <w:t>2:45–4:10 (85 s) · 175 palabras</w:t>
      </w:r>
    </w:p>
    <w:p>
      <w:pPr>
        <w:keepNext/>
        <w:keepLines/>
      </w:pPr>
      <w:r>
        <w:rPr>
          <w:b w:val="0"/>
        </w:rPr>
        <w:t>Segundo criterio: impacto social o técnico. El problema es grande y está medido. El dengue es endémico en el Valle, con brotes cada dos a cuatro años. En 2024, Cali tuvo 1.520 casos por cada 100.000 habitantes, cuando en el país fueron 937. Ese año, con más de 20.000 casos, la ciudad declaró emergencia sanitaria. El Plan Territorial de Salud ubica a Cali y a otros ocho municipios en riesgo muy alto. En Colombia, el dengue cuesta unos 252 millones de dólares al año, en dólares de 2020.</w:t>
      </w:r>
    </w:p>
    <w:p>
      <w:pPr>
        <w:keepNext/>
        <w:keepLines/>
      </w:pPr>
      <w:r>
        <w:rPr>
          <w:b w:val="0"/>
        </w:rPr>
        <w:t>En lo técnico, anticipar es posible. Un estudio en Cali encontró que el clima de dos a cinco semanas antes mejora la predicción, y otro en Colombia mostró que un Random Forest con casos y clima rezagados supera a un modelo ARIMA. Por eso redefino el cuello de botella: en Cali ya se anticipa, pero esa capacidad no está disponible como herramienta abierta y replicable para los demás municipios. Le doy 4 y no 5, porque mi aporte es complementario y la demanda todavía no está validada.</w:t>
      </w:r>
    </w:p>
    <w:p>
      <w:r>
        <w:rPr>
          <w:b/>
        </w:rPr>
        <w:t xml:space="preserve">En pantalla: </w:t>
      </w:r>
      <w:r>
        <w:rPr>
          <w:b w:val="0"/>
        </w:rPr>
        <w:t>1.520 frente a 937 casos por 100.000 hab. (2024); emergencia sanitaria el 11 de junio de 2024 (más de 20.000 casos); 9 municipios en riesgo muy alto; brotes cada 2 a 4 años; ≈USD 252 millones al año (USD de 2020); clima rezagado de 2 a 5 semanas. Puntaje 4.</w:t>
      </w:r>
    </w:p>
    <w:p>
      <w:pPr>
        <w:pStyle w:val="Heading2"/>
      </w:pPr>
      <w:r>
        <w:t>Diapositiva 5 · Criterio 3 · Políticas de fomento</w:t>
      </w:r>
    </w:p>
    <w:p>
      <w:pPr>
        <w:keepNext/>
      </w:pPr>
      <w:r>
        <w:rPr>
          <w:b/>
        </w:rPr>
        <w:t xml:space="preserve">Tiempo: </w:t>
      </w:r>
      <w:r>
        <w:rPr>
          <w:b w:val="0"/>
        </w:rPr>
        <w:t>4:10–5:10 (60 s) · 130 palabras</w:t>
      </w:r>
    </w:p>
    <w:p>
      <w:pPr>
        <w:keepNext/>
        <w:keepLines/>
      </w:pPr>
      <w:r>
        <w:rPr>
          <w:b w:val="0"/>
        </w:rPr>
        <w:t>Tercer criterio: políticas de fomento. La idea está alineada en los tres niveles de gobierno.</w:t>
      </w:r>
    </w:p>
    <w:p>
      <w:pPr>
        <w:keepNext/>
        <w:keepLines/>
      </w:pPr>
      <w:r>
        <w:rPr>
          <w:b w:val="0"/>
        </w:rPr>
        <w:t>En lo nacional, con el CONPES 4144 de 2025, la Política Nacional de Inteligencia Artificial, donde la salud es un sector estratégico. También con el Plan Decenal de Salud Pública 2022-2031, en sus ejes de cambio climático y de conocimiento en salud pública.</w:t>
      </w:r>
    </w:p>
    <w:p>
      <w:pPr>
        <w:keepNext/>
        <w:keepLines/>
      </w:pPr>
      <w:r>
        <w:rPr>
          <w:b w:val="0"/>
        </w:rPr>
        <w:t>En lo departamental, con el Plan de Desarrollo «Liderazgo que Transforma», en dos programas concretos: «Valle innovador: distritos de innovación e inteligencia artificial» y «Prevención y promoción en salud». El Plan Territorial de Salud, además, propone usar inteligencia artificial y análisis de datos.</w:t>
      </w:r>
    </w:p>
    <w:p>
      <w:pPr>
        <w:keepNext/>
        <w:keepLines/>
      </w:pPr>
      <w:r>
        <w:rPr>
          <w:b w:val="0"/>
        </w:rPr>
        <w:t>En lo distrital, la planeación en salud de Cali prioriza el dengue y las enfermedades transmitidas por vectores, y la Alcaldía ya usa inteligencia artificial con DengueIA. Puntaje: 5.</w:t>
      </w:r>
    </w:p>
    <w:p>
      <w:r>
        <w:rPr>
          <w:b/>
        </w:rPr>
        <w:t xml:space="preserve">En pantalla: </w:t>
      </w:r>
      <w:r>
        <w:rPr>
          <w:b w:val="0"/>
        </w:rPr>
        <w:t>Nacional: CONPES 4144 de 2025 (2025-2030), PDSP 2022-2031. Departamental: «Liderazgo que Transforma» 2024-2027 (Ordenanza 655), PTS 2024-2027, Minciencias articulado a NIDO con misión de soberanía sanitaria. Distrital: dengue y ETV prioritarios, DengueIA. Puntaje 5.</w:t>
      </w:r>
    </w:p>
    <w:p>
      <w:pPr>
        <w:pStyle w:val="Heading2"/>
      </w:pPr>
      <w:r>
        <w:t>Diapositiva 6 · Criterio 4 · Apoyo del ecosistema</w:t>
      </w:r>
    </w:p>
    <w:p>
      <w:pPr>
        <w:keepNext/>
      </w:pPr>
      <w:r>
        <w:rPr>
          <w:b/>
        </w:rPr>
        <w:t xml:space="preserve">Tiempo: </w:t>
      </w:r>
      <w:r>
        <w:rPr>
          <w:b w:val="0"/>
        </w:rPr>
        <w:t>5:10–6:20 (70 s) · 149 palabras</w:t>
      </w:r>
    </w:p>
    <w:p>
      <w:pPr>
        <w:keepNext/>
        <w:keepLines/>
      </w:pPr>
      <w:r>
        <w:rPr>
          <w:b w:val="0"/>
        </w:rPr>
        <w:t>Cuarto criterio: apoyo del ecosistema. Propongo una ruta en orden.</w:t>
      </w:r>
    </w:p>
    <w:p>
      <w:pPr>
        <w:keepNext/>
        <w:keepLines/>
      </w:pPr>
      <w:r>
        <w:rPr>
          <w:b w:val="0"/>
        </w:rPr>
        <w:t>Primero, Tecnoparque del SENA: acompañamiento técnico gratuito para construir el prototipo, con una sublínea de inteligencia artificial y geotecnología.</w:t>
      </w:r>
    </w:p>
    <w:p>
      <w:pPr>
        <w:keepNext/>
        <w:keepLines/>
      </w:pPr>
      <w:r>
        <w:rPr>
          <w:b w:val="0"/>
        </w:rPr>
        <w:t>Segundo, NIDO, de la Cámara de Comercio, la Gobernación y la Alcaldía. Acompañó a 220 startups entre 2024 y 2025, su oferta empieza desde la ideación, y en 2024 abrió ValleyCare, una convocatoria para emprendimientos de salud.</w:t>
      </w:r>
    </w:p>
    <w:p>
      <w:pPr>
        <w:keepNext/>
        <w:keepLines/>
      </w:pPr>
      <w:r>
        <w:rPr>
          <w:b w:val="0"/>
        </w:rPr>
        <w:t>Tercero, para validar: la Secretaría de Salud y los equipos de Icesi y Univalle como referencia, y el Clúster de Excelencia Clínica para pilotos con clínicas y EPS.</w:t>
      </w:r>
    </w:p>
    <w:p>
      <w:pPr>
        <w:keepNext/>
        <w:keepLines/>
      </w:pPr>
      <w:r>
        <w:rPr>
          <w:b w:val="0"/>
        </w:rPr>
        <w:t>Para cofinanciar está el Fondo Emprender: en 2026 abrió 12 convocatorias por más de 282.000 millones de pesos, pero cerraron en abril. Podría aplicar en un próximo ciclo, porque acepta estudiantes de los dos últimos semestres. Valle INN, en cambio, encaja poco. A hoy, 2 de octubre, no hay una convocatoria abierta. Por eso, 4.</w:t>
      </w:r>
    </w:p>
    <w:p>
      <w:r>
        <w:rPr>
          <w:b/>
        </w:rPr>
        <w:t xml:space="preserve">En pantalla: </w:t>
      </w:r>
      <w:r>
        <w:rPr>
          <w:b w:val="0"/>
        </w:rPr>
        <w:t>Ruta: 1) Tecnoparque (IA y geotecnología); 2) NIDO (220 startups 2024-2025, ValleyCare); 3) Secretaría de Salud, Icesi y Univalle + Clúster de Excelencia Clínica. Fondo Emprender: 12 convocatorias, más de $282.000 millones, cerradas en abril de 2026. ColombIA Inteligente: terminada (agosto de 2026). Valle INN+: encaje bajo. Puntaje 4.</w:t>
      </w:r>
    </w:p>
    <w:p>
      <w:pPr>
        <w:pStyle w:val="Heading2"/>
      </w:pPr>
      <w:r>
        <w:t>Diapositiva 7 · Matriz de selección (resultado principal)</w:t>
      </w:r>
    </w:p>
    <w:p>
      <w:pPr>
        <w:keepNext/>
      </w:pPr>
      <w:r>
        <w:rPr>
          <w:b/>
        </w:rPr>
        <w:t xml:space="preserve">Tiempo: </w:t>
      </w:r>
      <w:r>
        <w:rPr>
          <w:b w:val="0"/>
        </w:rPr>
        <w:t>6:20–7:00 (40 s) · 87 palabras</w:t>
      </w:r>
    </w:p>
    <w:p>
      <w:pPr>
        <w:keepNext/>
        <w:keepLines/>
      </w:pPr>
      <w:r>
        <w:rPr>
          <w:b w:val="0"/>
        </w:rPr>
        <w:t>Este es el resultado principal: AedesAlert Cali obtiene 18 de 20 puntos. Califiqué de 1 a 5, donde 5 es cumplir con evidencia verificable y 4 es cumplir, pero con una limitación relevante.</w:t>
      </w:r>
    </w:p>
    <w:p>
      <w:pPr>
        <w:keepNext/>
        <w:keepLines/>
      </w:pPr>
      <w:r>
        <w:rPr>
          <w:b w:val="0"/>
        </w:rPr>
        <w:t>Lo más fuerte es el sector económico y las políticas de fomento, con 5 cada uno. Impacto y ecosistema tienen 4: DengueIA ya probó el enfoque, así que mi aporte es hacerlo abierto y replicable, y hoy no hay una convocatoria de cofinanciación abierta. Ninguno de los cuatro criterios queda por debajo de 4.</w:t>
      </w:r>
    </w:p>
    <w:p>
      <w:r>
        <w:rPr>
          <w:b/>
        </w:rPr>
        <w:t xml:space="preserve">En pantalla: </w:t>
      </w:r>
      <w:r>
        <w:rPr>
          <w:b w:val="0"/>
        </w:rPr>
        <w:t>Tabla 1 resumida: los cuatro criterios con su frase corta y su puntaje (5 · 4 · 5 · 4), y el TOTAL 18/20 destacado.</w:t>
      </w:r>
    </w:p>
    <w:p>
      <w:pPr>
        <w:pStyle w:val="Heading2"/>
      </w:pPr>
      <w:r>
        <w:t>Diapositiva 8 · Conclusión: riesgo y siguiente paso</w:t>
      </w:r>
    </w:p>
    <w:p>
      <w:pPr>
        <w:keepNext/>
      </w:pPr>
      <w:r>
        <w:rPr>
          <w:b/>
        </w:rPr>
        <w:t xml:space="preserve">Tiempo: </w:t>
      </w:r>
      <w:r>
        <w:rPr>
          <w:b w:val="0"/>
        </w:rPr>
        <w:t>7:00–7:40 (40 s) · 88 palabras</w:t>
      </w:r>
    </w:p>
    <w:p>
      <w:pPr>
        <w:keepNext/>
        <w:keepLines/>
      </w:pPr>
      <w:r>
        <w:rPr>
          <w:b w:val="0"/>
        </w:rPr>
        <w:t>En conclusión, la idea pasa la validación regional como complemento abierto de DengueIA. El riesgo principal es este: la demanda en los otros municipios todavía no está validada, y no está confirmado que existan varios años de datos por comuna que incluyan el brote de 2024.</w:t>
      </w:r>
    </w:p>
    <w:p>
      <w:pPr>
        <w:keepNext/>
        <w:keepLines/>
      </w:pPr>
      <w:r>
        <w:rPr>
          <w:b w:val="0"/>
        </w:rPr>
        <w:t>Mis siguientes pasos son tres: revisar qué publica Datos Abiertos Cali y pedir lo que falte con un derecho de petición, presentar el prototipo a Tecnoparque y buscar la opinión de una secretaría de salud municipal en riesgo muy alto. Muchas gracias.</w:t>
      </w:r>
    </w:p>
    <w:p>
      <w:r>
        <w:rPr>
          <w:b/>
        </w:rPr>
        <w:t xml:space="preserve">En pantalla: </w:t>
      </w:r>
      <w:r>
        <w:rPr>
          <w:b w:val="0"/>
        </w:rPr>
        <w:t>Riesgo principal (demanda no validada + datos por comuna); siguientes pasos: Datos Abiertos Cali / derecho de petición, Tecnoparque, una secretaría municipal en riesgo muy alto. «Gracias».</w:t>
      </w:r>
    </w:p>
    <w:p>
      <w:pPr>
        <w:pStyle w:val="Heading2"/>
      </w:pPr>
      <w:r>
        <w:t>Diapositiva R · Fuentes (respaldo, no cuenta en el tiempo)</w:t>
      </w:r>
    </w:p>
    <w:p>
      <w:r>
        <w:rPr>
          <w:b/>
        </w:rPr>
        <w:t xml:space="preserve">Cuándo mostrarla: </w:t>
      </w:r>
      <w:r>
        <w:rPr>
          <w:b w:val="0"/>
        </w:rPr>
        <w:t>Sin texto hablado. Solo se muestra si, en las preguntas, el docente pide de dónde sale una cifra; se señala la fuente y se vuelve a la diapositiva 7 u 8.</w:t>
      </w:r>
    </w:p>
    <w:p>
      <w:r>
        <w:rPr>
          <w:b/>
        </w:rPr>
        <w:t xml:space="preserve">En pantalla: </w:t>
      </w:r>
      <w:r>
        <w:rPr>
          <w:b w:val="0"/>
        </w:rPr>
        <w:t>Lista corta de fuentes: DANE, Cámara de Comercio de Cali, INS, Plan Territorial de Salud del Valle, Rodríguez-Morales et al., Fundación Rockefeller, CONPES 4144, Infobae, Minciencias.</w:t>
      </w:r>
    </w:p>
    <w:p>
      <w:pPr>
        <w:pStyle w:val="Heading1"/>
      </w:pPr>
      <w:r>
        <w:t>Conteo de palabras y duración estimada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Diapositiva</w:t>
            </w:r>
          </w:p>
        </w:tc>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Tiempo en la escaleta</w:t>
            </w:r>
          </w:p>
        </w:tc>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Duración</w:t>
            </w:r>
          </w:p>
        </w:tc>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Palabras</w:t>
            </w:r>
          </w:p>
        </w:tc>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Duración estimada a 130 ppm</w:t>
            </w:r>
          </w:p>
        </w:tc>
      </w:tr>
      <w:tr>
        <w:tc>
          <w:tcPr>
            <w:tcW w:type="dxa" w:w="1872"/>
          </w:tcPr>
          <w:p>
            <w:pPr>
              <w:spacing w:line="360" w:lineRule="auto" w:after="0"/>
            </w:pPr>
            <w:r>
              <w:rPr>
                <w:rFonts w:ascii="Times New Roman" w:hAnsi="Times New Roman"/>
                <w:color w:val="000000"/>
                <w:sz w:val="24"/>
              </w:rPr>
              <w:t>1</w:t>
            </w:r>
          </w:p>
        </w:tc>
        <w:tc>
          <w:tcPr>
            <w:tcW w:type="dxa" w:w="1872"/>
          </w:tcPr>
          <w:p>
            <w:pPr>
              <w:spacing w:line="360" w:lineRule="auto" w:after="0"/>
            </w:pPr>
            <w:r>
              <w:rPr>
                <w:rFonts w:ascii="Times New Roman" w:hAnsi="Times New Roman"/>
                <w:color w:val="000000"/>
                <w:sz w:val="24"/>
              </w:rPr>
              <w:t>0:00–0:20</w:t>
            </w:r>
          </w:p>
        </w:tc>
        <w:tc>
          <w:tcPr>
            <w:tcW w:type="dxa" w:w="1872"/>
          </w:tcPr>
          <w:p>
            <w:pPr>
              <w:spacing w:line="360" w:lineRule="auto" w:after="0"/>
            </w:pPr>
            <w:r>
              <w:rPr>
                <w:rFonts w:ascii="Times New Roman" w:hAnsi="Times New Roman"/>
                <w:color w:val="000000"/>
                <w:sz w:val="24"/>
              </w:rPr>
              <w:t>20 s</w:t>
            </w:r>
          </w:p>
        </w:tc>
        <w:tc>
          <w:tcPr>
            <w:tcW w:type="dxa" w:w="1872"/>
          </w:tcPr>
          <w:p>
            <w:pPr>
              <w:spacing w:line="360" w:lineRule="auto" w:after="0"/>
            </w:pPr>
            <w:r>
              <w:rPr>
                <w:rFonts w:ascii="Times New Roman" w:hAnsi="Times New Roman"/>
                <w:color w:val="000000"/>
                <w:sz w:val="24"/>
              </w:rPr>
              <w:t>45</w:t>
            </w:r>
          </w:p>
        </w:tc>
        <w:tc>
          <w:tcPr>
            <w:tcW w:type="dxa" w:w="1872"/>
          </w:tcPr>
          <w:p>
            <w:pPr>
              <w:spacing w:line="360" w:lineRule="auto" w:after="0"/>
            </w:pPr>
            <w:r>
              <w:rPr>
                <w:rFonts w:ascii="Times New Roman" w:hAnsi="Times New Roman"/>
                <w:color w:val="000000"/>
                <w:sz w:val="24"/>
              </w:rPr>
              <w:t>0:21</w:t>
            </w:r>
          </w:p>
        </w:tc>
      </w:tr>
      <w:tr>
        <w:tc>
          <w:tcPr>
            <w:tcW w:type="dxa" w:w="1872"/>
          </w:tcPr>
          <w:p>
            <w:pPr>
              <w:spacing w:line="360" w:lineRule="auto" w:after="0"/>
            </w:pPr>
            <w:r>
              <w:rPr>
                <w:rFonts w:ascii="Times New Roman" w:hAnsi="Times New Roman"/>
                <w:color w:val="000000"/>
                <w:sz w:val="24"/>
              </w:rPr>
              <w:t>2</w:t>
            </w:r>
          </w:p>
        </w:tc>
        <w:tc>
          <w:tcPr>
            <w:tcW w:type="dxa" w:w="1872"/>
          </w:tcPr>
          <w:p>
            <w:pPr>
              <w:spacing w:line="360" w:lineRule="auto" w:after="0"/>
            </w:pPr>
            <w:r>
              <w:rPr>
                <w:rFonts w:ascii="Times New Roman" w:hAnsi="Times New Roman"/>
                <w:color w:val="000000"/>
                <w:sz w:val="24"/>
              </w:rPr>
              <w:t>0:20–1:30</w:t>
            </w:r>
          </w:p>
        </w:tc>
        <w:tc>
          <w:tcPr>
            <w:tcW w:type="dxa" w:w="1872"/>
          </w:tcPr>
          <w:p>
            <w:pPr>
              <w:spacing w:line="360" w:lineRule="auto" w:after="0"/>
            </w:pPr>
            <w:r>
              <w:rPr>
                <w:rFonts w:ascii="Times New Roman" w:hAnsi="Times New Roman"/>
                <w:color w:val="000000"/>
                <w:sz w:val="24"/>
              </w:rPr>
              <w:t>70 s</w:t>
            </w:r>
          </w:p>
        </w:tc>
        <w:tc>
          <w:tcPr>
            <w:tcW w:type="dxa" w:w="1872"/>
          </w:tcPr>
          <w:p>
            <w:pPr>
              <w:spacing w:line="360" w:lineRule="auto" w:after="0"/>
            </w:pPr>
            <w:r>
              <w:rPr>
                <w:rFonts w:ascii="Times New Roman" w:hAnsi="Times New Roman"/>
                <w:color w:val="000000"/>
                <w:sz w:val="24"/>
              </w:rPr>
              <w:t>147</w:t>
            </w:r>
          </w:p>
        </w:tc>
        <w:tc>
          <w:tcPr>
            <w:tcW w:type="dxa" w:w="1872"/>
          </w:tcPr>
          <w:p>
            <w:pPr>
              <w:spacing w:line="360" w:lineRule="auto" w:after="0"/>
            </w:pPr>
            <w:r>
              <w:rPr>
                <w:rFonts w:ascii="Times New Roman" w:hAnsi="Times New Roman"/>
                <w:color w:val="000000"/>
                <w:sz w:val="24"/>
              </w:rPr>
              <w:t>1:08</w:t>
            </w:r>
          </w:p>
        </w:tc>
      </w:tr>
      <w:tr>
        <w:tc>
          <w:tcPr>
            <w:tcW w:type="dxa" w:w="1872"/>
          </w:tcPr>
          <w:p>
            <w:pPr>
              <w:spacing w:line="360" w:lineRule="auto" w:after="0"/>
            </w:pPr>
            <w:r>
              <w:rPr>
                <w:rFonts w:ascii="Times New Roman" w:hAnsi="Times New Roman"/>
                <w:color w:val="000000"/>
                <w:sz w:val="24"/>
              </w:rPr>
              <w:t>3</w:t>
            </w:r>
          </w:p>
        </w:tc>
        <w:tc>
          <w:tcPr>
            <w:tcW w:type="dxa" w:w="1872"/>
          </w:tcPr>
          <w:p>
            <w:pPr>
              <w:spacing w:line="360" w:lineRule="auto" w:after="0"/>
            </w:pPr>
            <w:r>
              <w:rPr>
                <w:rFonts w:ascii="Times New Roman" w:hAnsi="Times New Roman"/>
                <w:color w:val="000000"/>
                <w:sz w:val="24"/>
              </w:rPr>
              <w:t>1:30–2:45</w:t>
            </w:r>
          </w:p>
        </w:tc>
        <w:tc>
          <w:tcPr>
            <w:tcW w:type="dxa" w:w="1872"/>
          </w:tcPr>
          <w:p>
            <w:pPr>
              <w:spacing w:line="360" w:lineRule="auto" w:after="0"/>
            </w:pPr>
            <w:r>
              <w:rPr>
                <w:rFonts w:ascii="Times New Roman" w:hAnsi="Times New Roman"/>
                <w:color w:val="000000"/>
                <w:sz w:val="24"/>
              </w:rPr>
              <w:t>75 s</w:t>
            </w:r>
          </w:p>
        </w:tc>
        <w:tc>
          <w:tcPr>
            <w:tcW w:type="dxa" w:w="1872"/>
          </w:tcPr>
          <w:p>
            <w:pPr>
              <w:spacing w:line="360" w:lineRule="auto" w:after="0"/>
            </w:pPr>
            <w:r>
              <w:rPr>
                <w:rFonts w:ascii="Times New Roman" w:hAnsi="Times New Roman"/>
                <w:color w:val="000000"/>
                <w:sz w:val="24"/>
              </w:rPr>
              <w:t>166</w:t>
            </w:r>
          </w:p>
        </w:tc>
        <w:tc>
          <w:tcPr>
            <w:tcW w:type="dxa" w:w="1872"/>
          </w:tcPr>
          <w:p>
            <w:pPr>
              <w:spacing w:line="360" w:lineRule="auto" w:after="0"/>
            </w:pPr>
            <w:r>
              <w:rPr>
                <w:rFonts w:ascii="Times New Roman" w:hAnsi="Times New Roman"/>
                <w:color w:val="000000"/>
                <w:sz w:val="24"/>
              </w:rPr>
              <w:t>1:17</w:t>
            </w:r>
          </w:p>
        </w:tc>
      </w:tr>
      <w:tr>
        <w:tc>
          <w:tcPr>
            <w:tcW w:type="dxa" w:w="1872"/>
          </w:tcPr>
          <w:p>
            <w:pPr>
              <w:spacing w:line="360" w:lineRule="auto" w:after="0"/>
            </w:pPr>
            <w:r>
              <w:rPr>
                <w:rFonts w:ascii="Times New Roman" w:hAnsi="Times New Roman"/>
                <w:color w:val="000000"/>
                <w:sz w:val="24"/>
              </w:rPr>
              <w:t>4</w:t>
            </w:r>
          </w:p>
        </w:tc>
        <w:tc>
          <w:tcPr>
            <w:tcW w:type="dxa" w:w="1872"/>
          </w:tcPr>
          <w:p>
            <w:pPr>
              <w:spacing w:line="360" w:lineRule="auto" w:after="0"/>
            </w:pPr>
            <w:r>
              <w:rPr>
                <w:rFonts w:ascii="Times New Roman" w:hAnsi="Times New Roman"/>
                <w:color w:val="000000"/>
                <w:sz w:val="24"/>
              </w:rPr>
              <w:t>2:45–4:10</w:t>
            </w:r>
          </w:p>
        </w:tc>
        <w:tc>
          <w:tcPr>
            <w:tcW w:type="dxa" w:w="1872"/>
          </w:tcPr>
          <w:p>
            <w:pPr>
              <w:spacing w:line="360" w:lineRule="auto" w:after="0"/>
            </w:pPr>
            <w:r>
              <w:rPr>
                <w:rFonts w:ascii="Times New Roman" w:hAnsi="Times New Roman"/>
                <w:color w:val="000000"/>
                <w:sz w:val="24"/>
              </w:rPr>
              <w:t>85 s</w:t>
            </w:r>
          </w:p>
        </w:tc>
        <w:tc>
          <w:tcPr>
            <w:tcW w:type="dxa" w:w="1872"/>
          </w:tcPr>
          <w:p>
            <w:pPr>
              <w:spacing w:line="360" w:lineRule="auto" w:after="0"/>
            </w:pPr>
            <w:r>
              <w:rPr>
                <w:rFonts w:ascii="Times New Roman" w:hAnsi="Times New Roman"/>
                <w:color w:val="000000"/>
                <w:sz w:val="24"/>
              </w:rPr>
              <w:t>175</w:t>
            </w:r>
          </w:p>
        </w:tc>
        <w:tc>
          <w:tcPr>
            <w:tcW w:type="dxa" w:w="1872"/>
          </w:tcPr>
          <w:p>
            <w:pPr>
              <w:spacing w:line="360" w:lineRule="auto" w:after="0"/>
            </w:pPr>
            <w:r>
              <w:rPr>
                <w:rFonts w:ascii="Times New Roman" w:hAnsi="Times New Roman"/>
                <w:color w:val="000000"/>
                <w:sz w:val="24"/>
              </w:rPr>
              <w:t>1:21</w:t>
            </w:r>
          </w:p>
        </w:tc>
      </w:tr>
      <w:tr>
        <w:tc>
          <w:tcPr>
            <w:tcW w:type="dxa" w:w="1872"/>
          </w:tcPr>
          <w:p>
            <w:pPr>
              <w:spacing w:line="360" w:lineRule="auto" w:after="0"/>
            </w:pPr>
            <w:r>
              <w:rPr>
                <w:rFonts w:ascii="Times New Roman" w:hAnsi="Times New Roman"/>
                <w:color w:val="000000"/>
                <w:sz w:val="24"/>
              </w:rPr>
              <w:t>5</w:t>
            </w:r>
          </w:p>
        </w:tc>
        <w:tc>
          <w:tcPr>
            <w:tcW w:type="dxa" w:w="1872"/>
          </w:tcPr>
          <w:p>
            <w:pPr>
              <w:spacing w:line="360" w:lineRule="auto" w:after="0"/>
            </w:pPr>
            <w:r>
              <w:rPr>
                <w:rFonts w:ascii="Times New Roman" w:hAnsi="Times New Roman"/>
                <w:color w:val="000000"/>
                <w:sz w:val="24"/>
              </w:rPr>
              <w:t>4:10–5:10</w:t>
            </w:r>
          </w:p>
        </w:tc>
        <w:tc>
          <w:tcPr>
            <w:tcW w:type="dxa" w:w="1872"/>
          </w:tcPr>
          <w:p>
            <w:pPr>
              <w:spacing w:line="360" w:lineRule="auto" w:after="0"/>
            </w:pPr>
            <w:r>
              <w:rPr>
                <w:rFonts w:ascii="Times New Roman" w:hAnsi="Times New Roman"/>
                <w:color w:val="000000"/>
                <w:sz w:val="24"/>
              </w:rPr>
              <w:t>60 s</w:t>
            </w:r>
          </w:p>
        </w:tc>
        <w:tc>
          <w:tcPr>
            <w:tcW w:type="dxa" w:w="1872"/>
          </w:tcPr>
          <w:p>
            <w:pPr>
              <w:spacing w:line="360" w:lineRule="auto" w:after="0"/>
            </w:pPr>
            <w:r>
              <w:rPr>
                <w:rFonts w:ascii="Times New Roman" w:hAnsi="Times New Roman"/>
                <w:color w:val="000000"/>
                <w:sz w:val="24"/>
              </w:rPr>
              <w:t>130</w:t>
            </w:r>
          </w:p>
        </w:tc>
        <w:tc>
          <w:tcPr>
            <w:tcW w:type="dxa" w:w="1872"/>
          </w:tcPr>
          <w:p>
            <w:pPr>
              <w:spacing w:line="360" w:lineRule="auto" w:after="0"/>
            </w:pPr>
            <w:r>
              <w:rPr>
                <w:rFonts w:ascii="Times New Roman" w:hAnsi="Times New Roman"/>
                <w:color w:val="000000"/>
                <w:sz w:val="24"/>
              </w:rPr>
              <w:t>1:00</w:t>
            </w:r>
          </w:p>
        </w:tc>
      </w:tr>
      <w:tr>
        <w:tc>
          <w:tcPr>
            <w:tcW w:type="dxa" w:w="1872"/>
          </w:tcPr>
          <w:p>
            <w:pPr>
              <w:spacing w:line="360" w:lineRule="auto" w:after="0"/>
            </w:pPr>
            <w:r>
              <w:rPr>
                <w:rFonts w:ascii="Times New Roman" w:hAnsi="Times New Roman"/>
                <w:color w:val="000000"/>
                <w:sz w:val="24"/>
              </w:rPr>
              <w:t>6</w:t>
            </w:r>
          </w:p>
        </w:tc>
        <w:tc>
          <w:tcPr>
            <w:tcW w:type="dxa" w:w="1872"/>
          </w:tcPr>
          <w:p>
            <w:pPr>
              <w:spacing w:line="360" w:lineRule="auto" w:after="0"/>
            </w:pPr>
            <w:r>
              <w:rPr>
                <w:rFonts w:ascii="Times New Roman" w:hAnsi="Times New Roman"/>
                <w:color w:val="000000"/>
                <w:sz w:val="24"/>
              </w:rPr>
              <w:t>5:10–6:20</w:t>
            </w:r>
          </w:p>
        </w:tc>
        <w:tc>
          <w:tcPr>
            <w:tcW w:type="dxa" w:w="1872"/>
          </w:tcPr>
          <w:p>
            <w:pPr>
              <w:spacing w:line="360" w:lineRule="auto" w:after="0"/>
            </w:pPr>
            <w:r>
              <w:rPr>
                <w:rFonts w:ascii="Times New Roman" w:hAnsi="Times New Roman"/>
                <w:color w:val="000000"/>
                <w:sz w:val="24"/>
              </w:rPr>
              <w:t>70 s</w:t>
            </w:r>
          </w:p>
        </w:tc>
        <w:tc>
          <w:tcPr>
            <w:tcW w:type="dxa" w:w="1872"/>
          </w:tcPr>
          <w:p>
            <w:pPr>
              <w:spacing w:line="360" w:lineRule="auto" w:after="0"/>
            </w:pPr>
            <w:r>
              <w:rPr>
                <w:rFonts w:ascii="Times New Roman" w:hAnsi="Times New Roman"/>
                <w:color w:val="000000"/>
                <w:sz w:val="24"/>
              </w:rPr>
              <w:t>149</w:t>
            </w:r>
          </w:p>
        </w:tc>
        <w:tc>
          <w:tcPr>
            <w:tcW w:type="dxa" w:w="1872"/>
          </w:tcPr>
          <w:p>
            <w:pPr>
              <w:spacing w:line="360" w:lineRule="auto" w:after="0"/>
            </w:pPr>
            <w:r>
              <w:rPr>
                <w:rFonts w:ascii="Times New Roman" w:hAnsi="Times New Roman"/>
                <w:color w:val="000000"/>
                <w:sz w:val="24"/>
              </w:rPr>
              <w:t>1:09</w:t>
            </w:r>
          </w:p>
        </w:tc>
      </w:tr>
      <w:tr>
        <w:tc>
          <w:tcPr>
            <w:tcW w:type="dxa" w:w="1872"/>
          </w:tcPr>
          <w:p>
            <w:pPr>
              <w:spacing w:line="360" w:lineRule="auto" w:after="0"/>
            </w:pPr>
            <w:r>
              <w:rPr>
                <w:rFonts w:ascii="Times New Roman" w:hAnsi="Times New Roman"/>
                <w:color w:val="000000"/>
                <w:sz w:val="24"/>
              </w:rPr>
              <w:t>7</w:t>
            </w:r>
          </w:p>
        </w:tc>
        <w:tc>
          <w:tcPr>
            <w:tcW w:type="dxa" w:w="1872"/>
          </w:tcPr>
          <w:p>
            <w:pPr>
              <w:spacing w:line="360" w:lineRule="auto" w:after="0"/>
            </w:pPr>
            <w:r>
              <w:rPr>
                <w:rFonts w:ascii="Times New Roman" w:hAnsi="Times New Roman"/>
                <w:color w:val="000000"/>
                <w:sz w:val="24"/>
              </w:rPr>
              <w:t>6:20–7:00</w:t>
            </w:r>
          </w:p>
        </w:tc>
        <w:tc>
          <w:tcPr>
            <w:tcW w:type="dxa" w:w="1872"/>
          </w:tcPr>
          <w:p>
            <w:pPr>
              <w:spacing w:line="360" w:lineRule="auto" w:after="0"/>
            </w:pPr>
            <w:r>
              <w:rPr>
                <w:rFonts w:ascii="Times New Roman" w:hAnsi="Times New Roman"/>
                <w:color w:val="000000"/>
                <w:sz w:val="24"/>
              </w:rPr>
              <w:t>40 s</w:t>
            </w:r>
          </w:p>
        </w:tc>
        <w:tc>
          <w:tcPr>
            <w:tcW w:type="dxa" w:w="1872"/>
          </w:tcPr>
          <w:p>
            <w:pPr>
              <w:spacing w:line="360" w:lineRule="auto" w:after="0"/>
            </w:pPr>
            <w:r>
              <w:rPr>
                <w:rFonts w:ascii="Times New Roman" w:hAnsi="Times New Roman"/>
                <w:color w:val="000000"/>
                <w:sz w:val="24"/>
              </w:rPr>
              <w:t>87</w:t>
            </w:r>
          </w:p>
        </w:tc>
        <w:tc>
          <w:tcPr>
            <w:tcW w:type="dxa" w:w="1872"/>
          </w:tcPr>
          <w:p>
            <w:pPr>
              <w:spacing w:line="360" w:lineRule="auto" w:after="0"/>
            </w:pPr>
            <w:r>
              <w:rPr>
                <w:rFonts w:ascii="Times New Roman" w:hAnsi="Times New Roman"/>
                <w:color w:val="000000"/>
                <w:sz w:val="24"/>
              </w:rPr>
              <w:t>0:40</w:t>
            </w:r>
          </w:p>
        </w:tc>
      </w:tr>
      <w:tr>
        <w:tc>
          <w:tcPr>
            <w:tcW w:type="dxa" w:w="1872"/>
          </w:tcPr>
          <w:p>
            <w:pPr>
              <w:spacing w:line="360" w:lineRule="auto" w:after="0"/>
            </w:pPr>
            <w:r>
              <w:rPr>
                <w:rFonts w:ascii="Times New Roman" w:hAnsi="Times New Roman"/>
                <w:color w:val="000000"/>
                <w:sz w:val="24"/>
              </w:rPr>
              <w:t>8</w:t>
            </w:r>
          </w:p>
        </w:tc>
        <w:tc>
          <w:tcPr>
            <w:tcW w:type="dxa" w:w="1872"/>
          </w:tcPr>
          <w:p>
            <w:pPr>
              <w:spacing w:line="360" w:lineRule="auto" w:after="0"/>
            </w:pPr>
            <w:r>
              <w:rPr>
                <w:rFonts w:ascii="Times New Roman" w:hAnsi="Times New Roman"/>
                <w:color w:val="000000"/>
                <w:sz w:val="24"/>
              </w:rPr>
              <w:t>7:00–7:40</w:t>
            </w:r>
          </w:p>
        </w:tc>
        <w:tc>
          <w:tcPr>
            <w:tcW w:type="dxa" w:w="1872"/>
          </w:tcPr>
          <w:p>
            <w:pPr>
              <w:spacing w:line="360" w:lineRule="auto" w:after="0"/>
            </w:pPr>
            <w:r>
              <w:rPr>
                <w:rFonts w:ascii="Times New Roman" w:hAnsi="Times New Roman"/>
                <w:color w:val="000000"/>
                <w:sz w:val="24"/>
              </w:rPr>
              <w:t>40 s</w:t>
            </w:r>
          </w:p>
        </w:tc>
        <w:tc>
          <w:tcPr>
            <w:tcW w:type="dxa" w:w="1872"/>
          </w:tcPr>
          <w:p>
            <w:pPr>
              <w:spacing w:line="360" w:lineRule="auto" w:after="0"/>
            </w:pPr>
            <w:r>
              <w:rPr>
                <w:rFonts w:ascii="Times New Roman" w:hAnsi="Times New Roman"/>
                <w:color w:val="000000"/>
                <w:sz w:val="24"/>
              </w:rPr>
              <w:t>88</w:t>
            </w:r>
          </w:p>
        </w:tc>
        <w:tc>
          <w:tcPr>
            <w:tcW w:type="dxa" w:w="1872"/>
          </w:tcPr>
          <w:p>
            <w:pPr>
              <w:spacing w:line="360" w:lineRule="auto" w:after="0"/>
            </w:pPr>
            <w:r>
              <w:rPr>
                <w:rFonts w:ascii="Times New Roman" w:hAnsi="Times New Roman"/>
                <w:color w:val="000000"/>
                <w:sz w:val="24"/>
              </w:rPr>
              <w:t>0:41</w:t>
            </w:r>
          </w:p>
        </w:tc>
      </w:tr>
      <w:tr>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Total</w:t>
            </w:r>
          </w:p>
        </w:tc>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0:00–7:40</w:t>
            </w:r>
          </w:p>
        </w:tc>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460 s</w:t>
            </w:r>
          </w:p>
        </w:tc>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987</w:t>
            </w:r>
          </w:p>
        </w:tc>
        <w:tc>
          <w:tcPr>
            <w:tcW w:type="dxa" w:w="1872"/>
          </w:tcPr>
          <w:p>
            <w:pPr>
              <w:spacing w:line="360" w:lineRule="auto" w:after="0"/>
            </w:pPr>
            <w:r>
              <w:rPr>
                <w:rFonts w:ascii="Times New Roman" w:hAnsi="Times New Roman"/>
                <w:color w:val="000000"/>
                <w:sz w:val="24"/>
              </w:rPr>
            </w:r>
            <w:r>
              <w:rPr>
                <w:rFonts w:ascii="Times New Roman" w:hAnsi="Times New Roman"/>
                <w:b/>
                <w:color w:val="000000"/>
                <w:sz w:val="24"/>
              </w:rPr>
              <w:t>7:36</w:t>
            </w:r>
          </w:p>
        </w:tc>
      </w:tr>
    </w:tbl>
    <w:p/>
    <w:p>
      <w:r>
        <w:rPr>
          <w:b w:val="0"/>
        </w:rPr>
        <w:t>El guion tiene 987 palabras. A 130 palabras por minuto dura unos 7:36 minutos, cerca de los 7:40 de la escaleta. Al decir las cifras en voz alta (por ejemplo, «2024» son tres palabras y «93 %», cuatro), el texto equivale a unas 1046 palabras, es decir, unos 8:03 minutos. Si en el ensayo con cronómetro se pasa de 8:00, lo primero que se puede recortar es la frase del empleo en tecnología (diapositiva 3), la de los estudios técnicos (diapositiva 4) y la de ValleyCare (diapositiva 6), porque esas cifras ya están en pantalla.</w:t>
      </w:r>
    </w:p>
    <w:p>
      <w:pPr>
        <w:pStyle w:val="Heading1"/>
      </w:pPr>
      <w:r>
        <w:t>Posibles preguntas del docente</w:t>
      </w:r>
    </w:p>
    <w:p>
      <w:pPr>
        <w:keepNext/>
        <w:spacing w:after="0"/>
      </w:pPr>
      <w:r>
        <w:rPr>
          <w:b/>
        </w:rPr>
        <w:t>1. ¿Si ya existe DengueIA, para qué AedesAlert?</w:t>
      </w:r>
    </w:p>
    <w:p>
      <w:r>
        <w:rPr>
          <w:b w:val="0"/>
        </w:rPr>
        <w:t>DengueIA demuestra que anticipar funciona en Cali, con un 93 % de efectividad reportada. Pero ninguna de las fuentes que revisé dice que sus datos, su código o su mapa sean públicos. AedesAlert apuesta por lo abierto: datos abiertos, código libre y resultados por comuna, para que los otros ocho municipios en riesgo muy alto lo puedan replicar. No compite: complementa.</w:t>
      </w:r>
    </w:p>
    <w:p>
      <w:pPr>
        <w:keepNext/>
        <w:spacing w:after="0"/>
      </w:pPr>
      <w:r>
        <w:rPr>
          <w:b/>
        </w:rPr>
        <w:t>2. ¿De dónde saca los datos?</w:t>
      </w:r>
    </w:p>
    <w:p>
      <w:r>
        <w:rPr>
          <w:b w:val="0"/>
        </w:rPr>
        <w:t>Los casos vienen del sistema nacional de vigilancia en salud pública, el SIVIGILA, y el clima (lluvia, temperatura y humedad) de NASA POWER. Lo que aún no está confirmado es que haya varios años de datos por comuna que incluyan el brote de 2024. Por eso el primer paso es revisar qué publica Datos Abiertos Cali y pedir lo que falte a la Secretaría de Salud con un derecho de petición.</w:t>
      </w:r>
    </w:p>
    <w:p>
      <w:pPr>
        <w:keepNext/>
        <w:spacing w:after="0"/>
      </w:pPr>
      <w:r>
        <w:rPr>
          <w:b/>
        </w:rPr>
        <w:t>3. ¿Por qué 4 y no 5 en ecosistema?</w:t>
      </w:r>
    </w:p>
    <w:p>
      <w:r>
        <w:rPr>
          <w:b w:val="0"/>
        </w:rPr>
        <w:t>Porque hoy no hay una convocatoria de cofinanciación abierta. Fondo Emprender abrió 12 convocatorias en 2026, por más de 282.000 millones de pesos en capital semilla, pero cerraron en abril. ColombIA Inteligente terminó en agosto y Valle INN+ ya adjudicó la suya. Hay apoyo gratuito para empezar, Tecnoparque y NIDO, pero no dinero disponible hoy.</w:t>
      </w:r>
    </w:p>
    <w:p>
      <w:pPr>
        <w:keepNext/>
        <w:spacing w:after="0"/>
      </w:pPr>
      <w:r>
        <w:rPr>
          <w:b/>
        </w:rPr>
        <w:t>4. ¿Quién pagaría por esto?</w:t>
      </w:r>
    </w:p>
    <w:p>
      <w:r>
        <w:rPr>
          <w:b w:val="0"/>
        </w:rPr>
        <w:t>Todavía no tengo un modelo de pago validado: la demanda aún no está validada, y ese es el riesgo principal. Los usuarios naturales son las secretarías de salud de los municipios en riesgo muy alto y, por la línea HealthTech, clínicas, EPS y laboratorios. Para arrancar no hace falta pagar: Tecnoparque es gratuito, y con NIDO falta confirmar los requisitos de entrada para una idea sin empresa constituida. La cofinanciación se buscaría en un próximo ciclo del Fondo Emprender.</w:t>
      </w:r>
    </w:p>
    <w:p>
      <w:pPr>
        <w:keepNext/>
        <w:spacing w:after="0"/>
      </w:pPr>
      <w:r>
        <w:rPr>
          <w:b/>
        </w:rPr>
        <w:t>5. ¿Qué tan preciso será el modelo?</w:t>
      </w:r>
    </w:p>
    <w:p>
      <w:r>
        <w:rPr>
          <w:b w:val="0"/>
        </w:rPr>
        <w:t>Aún no tengo una cifra propia de precisión para AedesAlert, y no la voy a inventar. Lo que sí hay es evidencia de que se puede: en Cali, el clima de dos a cinco semanas antes mejora la predicción por barrio, y en Colombia un Random Forest con casos y clima rezagados supera a ARIMA. Voy a comparar Random Forest y XGBoost contra un modelo SARIMA como línea base.</w:t>
      </w:r>
    </w:p>
    <w:p>
      <w:pPr>
        <w:keepNext/>
        <w:spacing w:after="0"/>
      </w:pPr>
      <w:r>
        <w:rPr>
          <w:b/>
        </w:rPr>
        <w:t>6. ¿Por qué 5 en políticas, si no citas una meta del plan de Cali?</w:t>
      </w:r>
    </w:p>
    <w:p>
      <w:r>
        <w:rPr>
          <w:b w:val="0"/>
        </w:rPr>
        <w:t>Tiene razón: no verifiqué una meta literal del Plan de Desarrollo de Cali sobre dengue, porque la página de la Alcaldía no abrió. El 5 se sostiene en que la planeación en salud de Cali prioriza el dengue y en que la ciudad ya usa inteligencia artificial con DengueIA. Si se exige esa meta literal, un 4 también sería defendible.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eastAsia="Times New Roman" w:cs="Times New Roman"/>
      <w:i w:val="0"/>
      <w:color w:val="000000"/>
      <w:sz w:val="24"/>
      <w:lang w:val="es-CO" w:eastAsia="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cstheme="majorBidi"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360" w:lineRule="auto" w:before="240"/>
      <w:contextualSpacing/>
    </w:pPr>
    <w:rPr>
      <w:rFonts w:cstheme="majorBidi" w:ascii="Times New Roman" w:hAnsi="Times New Roman" w:eastAsia="Times New Roman" w:cs="Times New Roman"/>
      <w:b/>
      <w:i w:val="0"/>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120" w:line="360" w:lineRule="auto" w:before="0"/>
    </w:pPr>
    <w:rPr>
      <w:rFonts w:ascii="Times New Roman" w:hAnsi="Times New Roman" w:eastAsia="Times New Roman" w:cs="Times New Roman"/>
      <w:i w:val="0"/>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la presentación · AedesAlert Cali</dc:title>
  <dc:subject/>
  <dc:creator>Juan Diego Nieto</dc:creator>
  <cp:keywords/>
  <dc:description>generated by python-docx</dc:description>
  <cp:lastModifiedBy/>
  <cp:revision>1</cp:revision>
  <dcterms:created xsi:type="dcterms:W3CDTF">2013-12-23T23:15:00Z</dcterms:created>
  <dcterms:modified xsi:type="dcterms:W3CDTF">2013-12-23T23:15:00Z</dcterms:modified>
  <cp:category/>
</cp:coreProperties>
</file>