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Title"/>
        <w:jc w:val="center"/>
      </w:pPr>
      <w:r>
        <w:t>Guion de la presentación</w:t>
      </w:r>
    </w:p>
    <w:p>
      <w:pPr>
        <w:jc w:val="center"/>
      </w:pPr>
      <w:r>
        <w:rPr>
          <w:b w:val="0"/>
        </w:rPr>
        <w:t>AedesAlert Cali: validación regional</w:t>
      </w:r>
    </w:p>
    <w:p>
      <w:pPr>
        <w:jc w:val="center"/>
      </w:pPr>
    </w:p>
    <w:p>
      <w:pPr>
        <w:jc w:val="center"/>
      </w:pPr>
      <w:r>
        <w:rPr>
          <w:b w:val="0"/>
        </w:rPr>
        <w:t>Juan Diego Nieto</w:t>
      </w:r>
    </w:p>
    <w:p>
      <w:pPr>
        <w:jc w:val="center"/>
      </w:pPr>
      <w:r>
        <w:rPr>
          <w:b w:val="0"/>
        </w:rPr>
        <w:t>Curso: Ideación, Emprendimiento y Desarrollo Tecnológico</w:t>
      </w:r>
    </w:p>
    <w:p>
      <w:pPr>
        <w:jc w:val="center"/>
      </w:pPr>
      <w:r>
        <w:rPr>
          <w:b w:val="0"/>
        </w:rPr>
        <w:t>Ingeniería de Sistemas</w:t>
      </w:r>
    </w:p>
    <w:p>
      <w:pPr>
        <w:jc w:val="center"/>
      </w:pPr>
      <w:r>
        <w:rPr>
          <w:b w:val="0"/>
        </w:rPr>
        <w:t>Universidad Cooperativa de Colombia, sede Cali</w:t>
      </w:r>
    </w:p>
    <w:p>
      <w:pPr>
        <w:jc w:val="center"/>
      </w:pPr>
      <w:r>
        <w:rPr>
          <w:b w:val="0"/>
        </w:rPr>
        <w:t>Octubre de 2026</w:t>
        <w:br w:type="page"/>
      </w:r>
    </w:p>
    <w:p>
      <w:pPr>
        <w:pStyle w:val="Heading1"/>
      </w:pPr>
      <w:r>
        <w:t>Cómo usar este guion</w:t>
      </w:r>
    </w:p>
    <w:p>
      <w:r>
        <w:rPr>
          <w:b w:val="0"/>
        </w:rPr>
        <w:t>Exposición de 5 minutos con 8 diapositivas, más una de respaldo (R) que no cuenta en el tiempo. Cada bloque trae el rango de tiempo de la escaleta, el texto para decir en voz alta y lo que se ve en pantalla. El ritmo de referencia es de unas 130 palabras por minuto. Las cifras en pantalla pueden ser más que las que se dicen: no hace falta leerlas todas.</w:t>
      </w:r>
    </w:p>
    <w:p>
      <w:pPr>
        <w:pStyle w:val="Heading2"/>
      </w:pPr>
      <w:r>
        <w:t>Diapositiva 1 · AedesAlert Cali: validación regional</w:t>
      </w:r>
    </w:p>
    <w:p>
      <w:pPr>
        <w:keepNext/>
      </w:pPr>
      <w:r>
        <w:rPr>
          <w:b/>
        </w:rPr>
        <w:t xml:space="preserve">Tiempo: </w:t>
      </w:r>
      <w:r>
        <w:rPr>
          <w:b w:val="0"/>
        </w:rPr>
        <w:t>0:00–0:15 (15 s) · 34 palabras</w:t>
      </w:r>
    </w:p>
    <w:p>
      <w:pPr>
        <w:keepNext/>
        <w:keepLines/>
      </w:pPr>
      <w:r>
        <w:rPr>
          <w:b w:val="0"/>
        </w:rPr>
        <w:t>Hola a todos. Soy Juan Diego Nieto y les presento AedesAlert Cali. Hoy la evalúo con los cuatro criterios de validación regional del curso: sector económico, impacto, políticas de fomento y apoyo del ecosistema.</w:t>
      </w:r>
    </w:p>
    <w:p>
      <w:r>
        <w:rPr>
          <w:b/>
        </w:rPr>
        <w:t xml:space="preserve">En pantalla: </w:t>
      </w:r>
      <w:r>
        <w:rPr>
          <w:b w:val="0"/>
        </w:rPr>
        <w:t>Título de la idea, mi nombre, el curso, UCC Cali, octubre de 2026 y los cuatro criterios como índice.</w:t>
      </w:r>
    </w:p>
    <w:p>
      <w:pPr>
        <w:pStyle w:val="Heading2"/>
      </w:pPr>
      <w:r>
        <w:t>Diapositiva 2 · La idea: un complemento abierto de DengueIA</w:t>
      </w:r>
    </w:p>
    <w:p>
      <w:pPr>
        <w:keepNext/>
      </w:pPr>
      <w:r>
        <w:rPr>
          <w:b/>
        </w:rPr>
        <w:t xml:space="preserve">Tiempo: </w:t>
      </w:r>
      <w:r>
        <w:rPr>
          <w:b w:val="0"/>
        </w:rPr>
        <w:t>0:15–0:55 (40 s) · 91 palabras</w:t>
      </w:r>
    </w:p>
    <w:p>
      <w:pPr>
        <w:keepNext/>
        <w:keepLines/>
      </w:pPr>
      <w:r>
        <w:rPr>
          <w:b w:val="0"/>
        </w:rPr>
        <w:t>Empiezo por lo que ya existe: desde mayo de 2026, la Secretaría de Salud Pública de Cali usa DengueIA, hecho con Icesi, Univalle y la Fundación Rockefeller. Anticipa el riesgo hasta con tres semanas, con un 93 % de efectividad reportada. Eso prueba que anticipar funciona.</w:t>
      </w:r>
    </w:p>
    <w:p>
      <w:pPr>
        <w:keepNext/>
        <w:keepLines/>
      </w:pPr>
      <w:r>
        <w:rPr>
          <w:b w:val="0"/>
        </w:rPr>
        <w:t>AedesAlert lo complementa: cruza los casos con datos de clima y muestra cada semana un mapa semáforo por comuna, con datos abiertos y código libre. Lo pruebo con las 22 comunas de Cali, para llevarlo a los otros ocho municipios del Valle en riesgo muy alto.</w:t>
      </w:r>
    </w:p>
    <w:p>
      <w:r>
        <w:rPr>
          <w:b/>
        </w:rPr>
        <w:t xml:space="preserve">En pantalla: </w:t>
      </w:r>
      <w:r>
        <w:rPr>
          <w:b w:val="0"/>
        </w:rPr>
        <w:t>Flujo SIVIGILA + NASA POWER → Random Forest/XGBoost frente a SARIMA → mapa semáforo por comuna. DengueIA: 93 % de efectividad reportada, hasta 3 semanas, 174 zonas de 1 km². AedesAlert: 22 comunas, datos abiertos, código libre, otros 8 municipios en riesgo muy alto.</w:t>
      </w:r>
    </w:p>
    <w:p>
      <w:pPr>
        <w:pStyle w:val="Heading2"/>
      </w:pPr>
      <w:r>
        <w:t>Diapositiva 3 · Criterio 1 · Caracterización económica</w:t>
      </w:r>
    </w:p>
    <w:p>
      <w:pPr>
        <w:keepNext/>
      </w:pPr>
      <w:r>
        <w:rPr>
          <w:b/>
        </w:rPr>
        <w:t xml:space="preserve">Tiempo: </w:t>
      </w:r>
      <w:r>
        <w:rPr>
          <w:b w:val="0"/>
        </w:rPr>
        <w:t>0:55–1:35 (40 s) · 81 palabras</w:t>
      </w:r>
    </w:p>
    <w:p>
      <w:pPr>
        <w:keepNext/>
        <w:keepLines/>
      </w:pPr>
      <w:r>
        <w:rPr>
          <w:b w:val="0"/>
        </w:rPr>
        <w:t>Primer criterio: caracterización económica. AedesAlert transforma el sector salud, en su segmento HealthTech, la tecnología aplicada a la salud, con capacidades del sector de tecnología.</w:t>
      </w:r>
    </w:p>
    <w:p>
      <w:pPr>
        <w:keepNext/>
        <w:keepLines/>
      </w:pPr>
      <w:r>
        <w:rPr>
          <w:b w:val="0"/>
        </w:rPr>
        <w:t>El Valle es la tercera economía del país, con cerca del 9,8 % del producto interno bruto, según cifras preliminares de 2025. El Clúster de Excelencia Clínica de Cali reunía 528 empresas en 2023. Y el empleo en tecnología del Valle creció en promedio 7,2 % entre 2019 y 2023, frente a 4,9 % en el país. Puntaje: 5.</w:t>
      </w:r>
    </w:p>
    <w:p>
      <w:r>
        <w:rPr>
          <w:b/>
        </w:rPr>
        <w:t xml:space="preserve">En pantalla: </w:t>
      </w:r>
      <w:r>
        <w:rPr>
          <w:b w:val="0"/>
        </w:rPr>
        <w:t>3.ª economía del país, ≈9,8 % del PIB (2025pr); Clúster de Excelencia Clínica: 528 empresas (2023), línea HealthTech; madurez digital 2,42/5; empleo TIC +7,2 % frente a +4,9 % promedio (2019-2023). Puntaje 5.</w:t>
      </w:r>
    </w:p>
    <w:p>
      <w:pPr>
        <w:pStyle w:val="Heading2"/>
      </w:pPr>
      <w:r>
        <w:t>Diapositiva 4 · Criterio 2 · Impacto social o técnico</w:t>
      </w:r>
    </w:p>
    <w:p>
      <w:pPr>
        <w:keepNext/>
      </w:pPr>
      <w:r>
        <w:rPr>
          <w:b/>
        </w:rPr>
        <w:t xml:space="preserve">Tiempo: </w:t>
      </w:r>
      <w:r>
        <w:rPr>
          <w:b w:val="0"/>
        </w:rPr>
        <w:t>1:35–2:25 (50 s) · 97 palabras</w:t>
      </w:r>
    </w:p>
    <w:p>
      <w:pPr>
        <w:keepNext/>
        <w:keepLines/>
      </w:pPr>
      <w:r>
        <w:rPr>
          <w:b w:val="0"/>
        </w:rPr>
        <w:t>Segundo criterio: impacto social o técnico. El problema es grande y está medido. En 2024, Cali tuvo 1.520 casos de dengue por cada 100.000 habitantes; el país, 937. Ese año, con más de 20.000 casos, Cali declaró emergencia sanitaria. Y Cali y otros ocho municipios del Valle están en riesgo muy alto. En Colombia, el dengue cuesta unos 252 millones de dólares al año, en dólares de 2020.</w:t>
      </w:r>
    </w:p>
    <w:p>
      <w:pPr>
        <w:keepNext/>
        <w:keepLines/>
      </w:pPr>
      <w:r>
        <w:rPr>
          <w:b w:val="0"/>
        </w:rPr>
        <w:t>Anticipar es posible: en Cali, el clima de dos a cinco semanas antes mejora la predicción. Le doy 4 y no 5, porque DengueIA ya resolvió parte de esto.</w:t>
      </w:r>
    </w:p>
    <w:p>
      <w:r>
        <w:rPr>
          <w:b/>
        </w:rPr>
        <w:t xml:space="preserve">En pantalla: </w:t>
      </w:r>
      <w:r>
        <w:rPr>
          <w:b w:val="0"/>
        </w:rPr>
        <w:t>1.520 frente a 937 casos por 100.000 hab. (2024); emergencia sanitaria el 11 de junio de 2024 (más de 20.000 casos); 9 municipios en riesgo muy alto; brotes cada 2 a 4 años; ≈USD 252 millones al año (USD de 2020); clima rezagado de 2 a 5 semanas. Puntaje 4.</w:t>
      </w:r>
    </w:p>
    <w:p>
      <w:pPr>
        <w:pStyle w:val="Heading2"/>
      </w:pPr>
      <w:r>
        <w:t>Diapositiva 5 · Criterio 3 · Políticas de fomento</w:t>
      </w:r>
    </w:p>
    <w:p>
      <w:pPr>
        <w:keepNext/>
      </w:pPr>
      <w:r>
        <w:rPr>
          <w:b/>
        </w:rPr>
        <w:t xml:space="preserve">Tiempo: </w:t>
      </w:r>
      <w:r>
        <w:rPr>
          <w:b w:val="0"/>
        </w:rPr>
        <w:t>2:25–3:05 (40 s) · 79 palabras</w:t>
      </w:r>
    </w:p>
    <w:p>
      <w:pPr>
        <w:keepNext/>
        <w:keepLines/>
      </w:pPr>
      <w:r>
        <w:rPr>
          <w:b w:val="0"/>
        </w:rPr>
        <w:t>Tercer criterio: políticas de fomento. La idea está alineada en los tres niveles.</w:t>
      </w:r>
    </w:p>
    <w:p>
      <w:pPr>
        <w:keepNext/>
        <w:keepLines/>
      </w:pPr>
      <w:r>
        <w:rPr>
          <w:b w:val="0"/>
        </w:rPr>
        <w:t>En lo nacional, con el CONPES 4144 de 2025, la Política Nacional de Inteligencia Artificial, y con el Plan Decenal de Salud Pública. En lo departamental, con el Plan de Desarrollo «Liderazgo que Transforma» y con el Plan Territorial de Salud, que propone usar inteligencia artificial y análisis de datos. En lo distrital, Cali prioriza el dengue y ya usa inteligencia artificial con DengueIA. Puntaje: 5.</w:t>
      </w:r>
    </w:p>
    <w:p>
      <w:r>
        <w:rPr>
          <w:b/>
        </w:rPr>
        <w:t xml:space="preserve">En pantalla: </w:t>
      </w:r>
      <w:r>
        <w:rPr>
          <w:b w:val="0"/>
        </w:rPr>
        <w:t>Nacional: CONPES 4144 de 2025 (2025-2030), PDSP 2022-2031. Departamental: «Liderazgo que Transforma» 2024-2027 (Ordenanza 655), PTS 2024-2027, Minciencias articulado a NIDO con misión de soberanía sanitaria. Distrital: dengue y ETV prioritarios, DengueIA. Puntaje 5.</w:t>
      </w:r>
    </w:p>
    <w:p>
      <w:pPr>
        <w:pStyle w:val="Heading2"/>
      </w:pPr>
      <w:r>
        <w:t>Diapositiva 6 · Criterio 4 · Apoyo del ecosistema</w:t>
      </w:r>
    </w:p>
    <w:p>
      <w:pPr>
        <w:keepNext/>
      </w:pPr>
      <w:r>
        <w:rPr>
          <w:b/>
        </w:rPr>
        <w:t xml:space="preserve">Tiempo: </w:t>
      </w:r>
      <w:r>
        <w:rPr>
          <w:b w:val="0"/>
        </w:rPr>
        <w:t>3:05–3:45 (40 s) · 78 palabras</w:t>
      </w:r>
    </w:p>
    <w:p>
      <w:pPr>
        <w:keepNext/>
        <w:keepLines/>
      </w:pPr>
      <w:r>
        <w:rPr>
          <w:b w:val="0"/>
        </w:rPr>
        <w:t>Cuarto criterio: apoyo del ecosistema. Propongo una ruta en orden. Primero, Tecnoparque del SENA, gratuito y con una sublínea de inteligencia artificial, para el prototipo. Segundo, NIDO, que acompañó a 220 startups entre 2024 y 2025. Tercero, para validar: la Secretaría de Salud, Icesi, Univalle y el Clúster de Excelencia Clínica.</w:t>
      </w:r>
    </w:p>
    <w:p>
      <w:pPr>
        <w:keepNext/>
        <w:keepLines/>
      </w:pPr>
      <w:r>
        <w:rPr>
          <w:b w:val="0"/>
        </w:rPr>
        <w:t>Para cofinanciar está el Fondo Emprender, pero sus convocatorias de 2026 cerraron en abril. A hoy, 2 de octubre, no hay una convocatoria abierta. Por eso, 4.</w:t>
      </w:r>
    </w:p>
    <w:p>
      <w:r>
        <w:rPr>
          <w:b/>
        </w:rPr>
        <w:t xml:space="preserve">En pantalla: </w:t>
      </w:r>
      <w:r>
        <w:rPr>
          <w:b w:val="0"/>
        </w:rPr>
        <w:t>Ruta: 1) Tecnoparque (IA y geotecnología); 2) NIDO (220 startups 2024-2025, ValleyCare); 3) Secretaría de Salud, Icesi y Univalle + Clúster de Excelencia Clínica. Fondo Emprender: 12 convocatorias, más de $282.000 millones, cerradas en abril de 2026. ColombIA Inteligente: terminada (agosto de 2026). Valle INN+: encaje bajo. Puntaje 4.</w:t>
      </w:r>
    </w:p>
    <w:p>
      <w:pPr>
        <w:pStyle w:val="Heading2"/>
      </w:pPr>
      <w:r>
        <w:t>Diapositiva 7 · Matriz de selección (resultado principal)</w:t>
      </w:r>
    </w:p>
    <w:p>
      <w:pPr>
        <w:keepNext/>
      </w:pPr>
      <w:r>
        <w:rPr>
          <w:b/>
        </w:rPr>
        <w:t xml:space="preserve">Tiempo: </w:t>
      </w:r>
      <w:r>
        <w:rPr>
          <w:b w:val="0"/>
        </w:rPr>
        <w:t>3:45–4:30 (45 s) · 93 palabras</w:t>
      </w:r>
    </w:p>
    <w:p>
      <w:pPr>
        <w:keepNext/>
        <w:keepLines/>
      </w:pPr>
      <w:r>
        <w:rPr>
          <w:b w:val="0"/>
        </w:rPr>
        <w:t>Este es el resultado principal. AedesAlert Cali obtiene 18 de 20 puntos.</w:t>
      </w:r>
    </w:p>
    <w:p>
      <w:pPr>
        <w:keepNext/>
        <w:keepLines/>
      </w:pPr>
      <w:r>
        <w:rPr>
          <w:b w:val="0"/>
        </w:rPr>
        <w:t>Es fuerte en caracterización económica, con 5, porque transforma el sector salud con capacidades de tecnología. Y en políticas de fomento, con 5, porque está alineada en los tres niveles y Cali ya usa inteligencia artificial contra el dengue. En impacto tiene 4: el problema es grande, pero DengueIA ya probó el enfoque, y mi aporte es que sea abierto y replicable. En ecosistema tiene 4: Tecnoparque y NIDO sirven desde ya, pero la cofinanciación tendrá que esperar un próximo ciclo.</w:t>
      </w:r>
    </w:p>
    <w:p>
      <w:r>
        <w:rPr>
          <w:b/>
        </w:rPr>
        <w:t xml:space="preserve">En pantalla: </w:t>
      </w:r>
      <w:r>
        <w:rPr>
          <w:b w:val="0"/>
        </w:rPr>
        <w:t>Tabla 1 resumida: los cuatro criterios con su frase corta y su puntaje (5 · 4 · 5 · 4), y el TOTAL 18/20 destacado.</w:t>
      </w:r>
    </w:p>
    <w:p>
      <w:pPr>
        <w:pStyle w:val="Heading2"/>
      </w:pPr>
      <w:r>
        <w:t>Diapositiva 8 · Conclusión: riesgo y siguiente paso</w:t>
      </w:r>
    </w:p>
    <w:p>
      <w:pPr>
        <w:keepNext/>
      </w:pPr>
      <w:r>
        <w:rPr>
          <w:b/>
        </w:rPr>
        <w:t xml:space="preserve">Tiempo: </w:t>
      </w:r>
      <w:r>
        <w:rPr>
          <w:b w:val="0"/>
        </w:rPr>
        <w:t>4:30–4:50 (20 s) · 41 palabras</w:t>
      </w:r>
    </w:p>
    <w:p>
      <w:pPr>
        <w:keepNext/>
        <w:keepLines/>
      </w:pPr>
      <w:r>
        <w:rPr>
          <w:b w:val="0"/>
        </w:rPr>
        <w:t>En conclusión, la idea pasa la validación regional. El riesgo es que la demanda no está validada y faltan datos por comuna. Mi siguiente paso: conseguir esos datos, ir a Tecnoparque y hablar con una secretaría de salud municipal. Muchas gracias.</w:t>
      </w:r>
    </w:p>
    <w:p>
      <w:r>
        <w:rPr>
          <w:b/>
        </w:rPr>
        <w:t xml:space="preserve">En pantalla: </w:t>
      </w:r>
      <w:r>
        <w:rPr>
          <w:b w:val="0"/>
        </w:rPr>
        <w:t>Riesgo principal (demanda no validada + datos por comuna); siguientes pasos: Datos Abiertos Cali / derecho de petición, Tecnoparque, una secretaría municipal en riesgo muy alto. «Gracias».</w:t>
      </w:r>
    </w:p>
    <w:p>
      <w:pPr>
        <w:pStyle w:val="Heading2"/>
      </w:pPr>
      <w:r>
        <w:t>Diapositiva R · Fuentes (respaldo, no cuenta en el tiempo)</w:t>
      </w:r>
    </w:p>
    <w:p>
      <w:r>
        <w:rPr>
          <w:b/>
        </w:rPr>
        <w:t xml:space="preserve">Cuándo mostrarla: </w:t>
      </w:r>
      <w:r>
        <w:rPr>
          <w:b w:val="0"/>
        </w:rPr>
        <w:t>Sin texto hablado. Solo se muestra si, en las preguntas, el docente pide de dónde sale una cifra; se señala la fuente y se vuelve a la diapositiva 7 u 8.</w:t>
      </w:r>
    </w:p>
    <w:p>
      <w:r>
        <w:rPr>
          <w:b/>
        </w:rPr>
        <w:t xml:space="preserve">En pantalla: </w:t>
      </w:r>
      <w:r>
        <w:rPr>
          <w:b w:val="0"/>
        </w:rPr>
        <w:t>Lista corta de fuentes: DANE, Cámara de Comercio de Cali, INS, Plan Territorial de Salud del Valle, Rodríguez-Morales et al., Fundación Rockefeller, CONPES 4144, Infobae, Minciencias.</w:t>
      </w:r>
    </w:p>
    <w:p>
      <w:pPr>
        <w:pStyle w:val="Heading1"/>
      </w:pPr>
      <w:r>
        <w:t>Conteo de palabras y duración estimada</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line="360" w:lineRule="auto" w:after="0"/>
            </w:pPr>
            <w:r>
              <w:rPr>
                <w:rFonts w:ascii="Times New Roman" w:hAnsi="Times New Roman"/>
                <w:color w:val="000000"/>
                <w:sz w:val="24"/>
              </w:rPr>
            </w:r>
            <w:r>
              <w:rPr>
                <w:rFonts w:ascii="Times New Roman" w:hAnsi="Times New Roman"/>
                <w:b/>
                <w:color w:val="000000"/>
                <w:sz w:val="24"/>
              </w:rPr>
              <w:t>Diapositiva</w:t>
            </w:r>
          </w:p>
        </w:tc>
        <w:tc>
          <w:tcPr>
            <w:tcW w:type="dxa" w:w="1872"/>
          </w:tcPr>
          <w:p>
            <w:pPr>
              <w:spacing w:line="360" w:lineRule="auto" w:after="0"/>
            </w:pPr>
            <w:r>
              <w:rPr>
                <w:rFonts w:ascii="Times New Roman" w:hAnsi="Times New Roman"/>
                <w:color w:val="000000"/>
                <w:sz w:val="24"/>
              </w:rPr>
            </w:r>
            <w:r>
              <w:rPr>
                <w:rFonts w:ascii="Times New Roman" w:hAnsi="Times New Roman"/>
                <w:b/>
                <w:color w:val="000000"/>
                <w:sz w:val="24"/>
              </w:rPr>
              <w:t>Tiempo en la escaleta</w:t>
            </w:r>
          </w:p>
        </w:tc>
        <w:tc>
          <w:tcPr>
            <w:tcW w:type="dxa" w:w="1872"/>
          </w:tcPr>
          <w:p>
            <w:pPr>
              <w:spacing w:line="360" w:lineRule="auto" w:after="0"/>
            </w:pPr>
            <w:r>
              <w:rPr>
                <w:rFonts w:ascii="Times New Roman" w:hAnsi="Times New Roman"/>
                <w:color w:val="000000"/>
                <w:sz w:val="24"/>
              </w:rPr>
            </w:r>
            <w:r>
              <w:rPr>
                <w:rFonts w:ascii="Times New Roman" w:hAnsi="Times New Roman"/>
                <w:b/>
                <w:color w:val="000000"/>
                <w:sz w:val="24"/>
              </w:rPr>
              <w:t>Duración</w:t>
            </w:r>
          </w:p>
        </w:tc>
        <w:tc>
          <w:tcPr>
            <w:tcW w:type="dxa" w:w="1872"/>
          </w:tcPr>
          <w:p>
            <w:pPr>
              <w:spacing w:line="360" w:lineRule="auto" w:after="0"/>
            </w:pPr>
            <w:r>
              <w:rPr>
                <w:rFonts w:ascii="Times New Roman" w:hAnsi="Times New Roman"/>
                <w:color w:val="000000"/>
                <w:sz w:val="24"/>
              </w:rPr>
            </w:r>
            <w:r>
              <w:rPr>
                <w:rFonts w:ascii="Times New Roman" w:hAnsi="Times New Roman"/>
                <w:b/>
                <w:color w:val="000000"/>
                <w:sz w:val="24"/>
              </w:rPr>
              <w:t>Palabras</w:t>
            </w:r>
          </w:p>
        </w:tc>
        <w:tc>
          <w:tcPr>
            <w:tcW w:type="dxa" w:w="1872"/>
          </w:tcPr>
          <w:p>
            <w:pPr>
              <w:spacing w:line="360" w:lineRule="auto" w:after="0"/>
            </w:pPr>
            <w:r>
              <w:rPr>
                <w:rFonts w:ascii="Times New Roman" w:hAnsi="Times New Roman"/>
                <w:color w:val="000000"/>
                <w:sz w:val="24"/>
              </w:rPr>
            </w:r>
            <w:r>
              <w:rPr>
                <w:rFonts w:ascii="Times New Roman" w:hAnsi="Times New Roman"/>
                <w:b/>
                <w:color w:val="000000"/>
                <w:sz w:val="24"/>
              </w:rPr>
              <w:t>Duración estimada a 130 ppm</w:t>
            </w:r>
          </w:p>
        </w:tc>
      </w:tr>
      <w:tr>
        <w:tc>
          <w:tcPr>
            <w:tcW w:type="dxa" w:w="1872"/>
          </w:tcPr>
          <w:p>
            <w:pPr>
              <w:spacing w:line="360" w:lineRule="auto" w:after="0"/>
            </w:pPr>
            <w:r>
              <w:rPr>
                <w:rFonts w:ascii="Times New Roman" w:hAnsi="Times New Roman"/>
                <w:color w:val="000000"/>
                <w:sz w:val="24"/>
              </w:rPr>
              <w:t>1</w:t>
            </w:r>
          </w:p>
        </w:tc>
        <w:tc>
          <w:tcPr>
            <w:tcW w:type="dxa" w:w="1872"/>
          </w:tcPr>
          <w:p>
            <w:pPr>
              <w:spacing w:line="360" w:lineRule="auto" w:after="0"/>
            </w:pPr>
            <w:r>
              <w:rPr>
                <w:rFonts w:ascii="Times New Roman" w:hAnsi="Times New Roman"/>
                <w:color w:val="000000"/>
                <w:sz w:val="24"/>
              </w:rPr>
              <w:t>0:00–0:15</w:t>
            </w:r>
          </w:p>
        </w:tc>
        <w:tc>
          <w:tcPr>
            <w:tcW w:type="dxa" w:w="1872"/>
          </w:tcPr>
          <w:p>
            <w:pPr>
              <w:spacing w:line="360" w:lineRule="auto" w:after="0"/>
            </w:pPr>
            <w:r>
              <w:rPr>
                <w:rFonts w:ascii="Times New Roman" w:hAnsi="Times New Roman"/>
                <w:color w:val="000000"/>
                <w:sz w:val="24"/>
              </w:rPr>
              <w:t>15 s</w:t>
            </w:r>
          </w:p>
        </w:tc>
        <w:tc>
          <w:tcPr>
            <w:tcW w:type="dxa" w:w="1872"/>
          </w:tcPr>
          <w:p>
            <w:pPr>
              <w:spacing w:line="360" w:lineRule="auto" w:after="0"/>
            </w:pPr>
            <w:r>
              <w:rPr>
                <w:rFonts w:ascii="Times New Roman" w:hAnsi="Times New Roman"/>
                <w:color w:val="000000"/>
                <w:sz w:val="24"/>
              </w:rPr>
              <w:t>34</w:t>
            </w:r>
          </w:p>
        </w:tc>
        <w:tc>
          <w:tcPr>
            <w:tcW w:type="dxa" w:w="1872"/>
          </w:tcPr>
          <w:p>
            <w:pPr>
              <w:spacing w:line="360" w:lineRule="auto" w:after="0"/>
            </w:pPr>
            <w:r>
              <w:rPr>
                <w:rFonts w:ascii="Times New Roman" w:hAnsi="Times New Roman"/>
                <w:color w:val="000000"/>
                <w:sz w:val="24"/>
              </w:rPr>
              <w:t>0:16</w:t>
            </w:r>
          </w:p>
        </w:tc>
      </w:tr>
      <w:tr>
        <w:tc>
          <w:tcPr>
            <w:tcW w:type="dxa" w:w="1872"/>
          </w:tcPr>
          <w:p>
            <w:pPr>
              <w:spacing w:line="360" w:lineRule="auto" w:after="0"/>
            </w:pPr>
            <w:r>
              <w:rPr>
                <w:rFonts w:ascii="Times New Roman" w:hAnsi="Times New Roman"/>
                <w:color w:val="000000"/>
                <w:sz w:val="24"/>
              </w:rPr>
              <w:t>2</w:t>
            </w:r>
          </w:p>
        </w:tc>
        <w:tc>
          <w:tcPr>
            <w:tcW w:type="dxa" w:w="1872"/>
          </w:tcPr>
          <w:p>
            <w:pPr>
              <w:spacing w:line="360" w:lineRule="auto" w:after="0"/>
            </w:pPr>
            <w:r>
              <w:rPr>
                <w:rFonts w:ascii="Times New Roman" w:hAnsi="Times New Roman"/>
                <w:color w:val="000000"/>
                <w:sz w:val="24"/>
              </w:rPr>
              <w:t>0:15–0:55</w:t>
            </w:r>
          </w:p>
        </w:tc>
        <w:tc>
          <w:tcPr>
            <w:tcW w:type="dxa" w:w="1872"/>
          </w:tcPr>
          <w:p>
            <w:pPr>
              <w:spacing w:line="360" w:lineRule="auto" w:after="0"/>
            </w:pPr>
            <w:r>
              <w:rPr>
                <w:rFonts w:ascii="Times New Roman" w:hAnsi="Times New Roman"/>
                <w:color w:val="000000"/>
                <w:sz w:val="24"/>
              </w:rPr>
              <w:t>40 s</w:t>
            </w:r>
          </w:p>
        </w:tc>
        <w:tc>
          <w:tcPr>
            <w:tcW w:type="dxa" w:w="1872"/>
          </w:tcPr>
          <w:p>
            <w:pPr>
              <w:spacing w:line="360" w:lineRule="auto" w:after="0"/>
            </w:pPr>
            <w:r>
              <w:rPr>
                <w:rFonts w:ascii="Times New Roman" w:hAnsi="Times New Roman"/>
                <w:color w:val="000000"/>
                <w:sz w:val="24"/>
              </w:rPr>
              <w:t>91</w:t>
            </w:r>
          </w:p>
        </w:tc>
        <w:tc>
          <w:tcPr>
            <w:tcW w:type="dxa" w:w="1872"/>
          </w:tcPr>
          <w:p>
            <w:pPr>
              <w:spacing w:line="360" w:lineRule="auto" w:after="0"/>
            </w:pPr>
            <w:r>
              <w:rPr>
                <w:rFonts w:ascii="Times New Roman" w:hAnsi="Times New Roman"/>
                <w:color w:val="000000"/>
                <w:sz w:val="24"/>
              </w:rPr>
              <w:t>0:42</w:t>
            </w:r>
          </w:p>
        </w:tc>
      </w:tr>
      <w:tr>
        <w:tc>
          <w:tcPr>
            <w:tcW w:type="dxa" w:w="1872"/>
          </w:tcPr>
          <w:p>
            <w:pPr>
              <w:spacing w:line="360" w:lineRule="auto" w:after="0"/>
            </w:pPr>
            <w:r>
              <w:rPr>
                <w:rFonts w:ascii="Times New Roman" w:hAnsi="Times New Roman"/>
                <w:color w:val="000000"/>
                <w:sz w:val="24"/>
              </w:rPr>
              <w:t>3</w:t>
            </w:r>
          </w:p>
        </w:tc>
        <w:tc>
          <w:tcPr>
            <w:tcW w:type="dxa" w:w="1872"/>
          </w:tcPr>
          <w:p>
            <w:pPr>
              <w:spacing w:line="360" w:lineRule="auto" w:after="0"/>
            </w:pPr>
            <w:r>
              <w:rPr>
                <w:rFonts w:ascii="Times New Roman" w:hAnsi="Times New Roman"/>
                <w:color w:val="000000"/>
                <w:sz w:val="24"/>
              </w:rPr>
              <w:t>0:55–1:35</w:t>
            </w:r>
          </w:p>
        </w:tc>
        <w:tc>
          <w:tcPr>
            <w:tcW w:type="dxa" w:w="1872"/>
          </w:tcPr>
          <w:p>
            <w:pPr>
              <w:spacing w:line="360" w:lineRule="auto" w:after="0"/>
            </w:pPr>
            <w:r>
              <w:rPr>
                <w:rFonts w:ascii="Times New Roman" w:hAnsi="Times New Roman"/>
                <w:color w:val="000000"/>
                <w:sz w:val="24"/>
              </w:rPr>
              <w:t>40 s</w:t>
            </w:r>
          </w:p>
        </w:tc>
        <w:tc>
          <w:tcPr>
            <w:tcW w:type="dxa" w:w="1872"/>
          </w:tcPr>
          <w:p>
            <w:pPr>
              <w:spacing w:line="360" w:lineRule="auto" w:after="0"/>
            </w:pPr>
            <w:r>
              <w:rPr>
                <w:rFonts w:ascii="Times New Roman" w:hAnsi="Times New Roman"/>
                <w:color w:val="000000"/>
                <w:sz w:val="24"/>
              </w:rPr>
              <w:t>81</w:t>
            </w:r>
          </w:p>
        </w:tc>
        <w:tc>
          <w:tcPr>
            <w:tcW w:type="dxa" w:w="1872"/>
          </w:tcPr>
          <w:p>
            <w:pPr>
              <w:spacing w:line="360" w:lineRule="auto" w:after="0"/>
            </w:pPr>
            <w:r>
              <w:rPr>
                <w:rFonts w:ascii="Times New Roman" w:hAnsi="Times New Roman"/>
                <w:color w:val="000000"/>
                <w:sz w:val="24"/>
              </w:rPr>
              <w:t>0:37</w:t>
            </w:r>
          </w:p>
        </w:tc>
      </w:tr>
      <w:tr>
        <w:tc>
          <w:tcPr>
            <w:tcW w:type="dxa" w:w="1872"/>
          </w:tcPr>
          <w:p>
            <w:pPr>
              <w:spacing w:line="360" w:lineRule="auto" w:after="0"/>
            </w:pPr>
            <w:r>
              <w:rPr>
                <w:rFonts w:ascii="Times New Roman" w:hAnsi="Times New Roman"/>
                <w:color w:val="000000"/>
                <w:sz w:val="24"/>
              </w:rPr>
              <w:t>4</w:t>
            </w:r>
          </w:p>
        </w:tc>
        <w:tc>
          <w:tcPr>
            <w:tcW w:type="dxa" w:w="1872"/>
          </w:tcPr>
          <w:p>
            <w:pPr>
              <w:spacing w:line="360" w:lineRule="auto" w:after="0"/>
            </w:pPr>
            <w:r>
              <w:rPr>
                <w:rFonts w:ascii="Times New Roman" w:hAnsi="Times New Roman"/>
                <w:color w:val="000000"/>
                <w:sz w:val="24"/>
              </w:rPr>
              <w:t>1:35–2:25</w:t>
            </w:r>
          </w:p>
        </w:tc>
        <w:tc>
          <w:tcPr>
            <w:tcW w:type="dxa" w:w="1872"/>
          </w:tcPr>
          <w:p>
            <w:pPr>
              <w:spacing w:line="360" w:lineRule="auto" w:after="0"/>
            </w:pPr>
            <w:r>
              <w:rPr>
                <w:rFonts w:ascii="Times New Roman" w:hAnsi="Times New Roman"/>
                <w:color w:val="000000"/>
                <w:sz w:val="24"/>
              </w:rPr>
              <w:t>50 s</w:t>
            </w:r>
          </w:p>
        </w:tc>
        <w:tc>
          <w:tcPr>
            <w:tcW w:type="dxa" w:w="1872"/>
          </w:tcPr>
          <w:p>
            <w:pPr>
              <w:spacing w:line="360" w:lineRule="auto" w:after="0"/>
            </w:pPr>
            <w:r>
              <w:rPr>
                <w:rFonts w:ascii="Times New Roman" w:hAnsi="Times New Roman"/>
                <w:color w:val="000000"/>
                <w:sz w:val="24"/>
              </w:rPr>
              <w:t>97</w:t>
            </w:r>
          </w:p>
        </w:tc>
        <w:tc>
          <w:tcPr>
            <w:tcW w:type="dxa" w:w="1872"/>
          </w:tcPr>
          <w:p>
            <w:pPr>
              <w:spacing w:line="360" w:lineRule="auto" w:after="0"/>
            </w:pPr>
            <w:r>
              <w:rPr>
                <w:rFonts w:ascii="Times New Roman" w:hAnsi="Times New Roman"/>
                <w:color w:val="000000"/>
                <w:sz w:val="24"/>
              </w:rPr>
              <w:t>0:45</w:t>
            </w:r>
          </w:p>
        </w:tc>
      </w:tr>
      <w:tr>
        <w:tc>
          <w:tcPr>
            <w:tcW w:type="dxa" w:w="1872"/>
          </w:tcPr>
          <w:p>
            <w:pPr>
              <w:spacing w:line="360" w:lineRule="auto" w:after="0"/>
            </w:pPr>
            <w:r>
              <w:rPr>
                <w:rFonts w:ascii="Times New Roman" w:hAnsi="Times New Roman"/>
                <w:color w:val="000000"/>
                <w:sz w:val="24"/>
              </w:rPr>
              <w:t>5</w:t>
            </w:r>
          </w:p>
        </w:tc>
        <w:tc>
          <w:tcPr>
            <w:tcW w:type="dxa" w:w="1872"/>
          </w:tcPr>
          <w:p>
            <w:pPr>
              <w:spacing w:line="360" w:lineRule="auto" w:after="0"/>
            </w:pPr>
            <w:r>
              <w:rPr>
                <w:rFonts w:ascii="Times New Roman" w:hAnsi="Times New Roman"/>
                <w:color w:val="000000"/>
                <w:sz w:val="24"/>
              </w:rPr>
              <w:t>2:25–3:05</w:t>
            </w:r>
          </w:p>
        </w:tc>
        <w:tc>
          <w:tcPr>
            <w:tcW w:type="dxa" w:w="1872"/>
          </w:tcPr>
          <w:p>
            <w:pPr>
              <w:spacing w:line="360" w:lineRule="auto" w:after="0"/>
            </w:pPr>
            <w:r>
              <w:rPr>
                <w:rFonts w:ascii="Times New Roman" w:hAnsi="Times New Roman"/>
                <w:color w:val="000000"/>
                <w:sz w:val="24"/>
              </w:rPr>
              <w:t>40 s</w:t>
            </w:r>
          </w:p>
        </w:tc>
        <w:tc>
          <w:tcPr>
            <w:tcW w:type="dxa" w:w="1872"/>
          </w:tcPr>
          <w:p>
            <w:pPr>
              <w:spacing w:line="360" w:lineRule="auto" w:after="0"/>
            </w:pPr>
            <w:r>
              <w:rPr>
                <w:rFonts w:ascii="Times New Roman" w:hAnsi="Times New Roman"/>
                <w:color w:val="000000"/>
                <w:sz w:val="24"/>
              </w:rPr>
              <w:t>79</w:t>
            </w:r>
          </w:p>
        </w:tc>
        <w:tc>
          <w:tcPr>
            <w:tcW w:type="dxa" w:w="1872"/>
          </w:tcPr>
          <w:p>
            <w:pPr>
              <w:spacing w:line="360" w:lineRule="auto" w:after="0"/>
            </w:pPr>
            <w:r>
              <w:rPr>
                <w:rFonts w:ascii="Times New Roman" w:hAnsi="Times New Roman"/>
                <w:color w:val="000000"/>
                <w:sz w:val="24"/>
              </w:rPr>
              <w:t>0:36</w:t>
            </w:r>
          </w:p>
        </w:tc>
      </w:tr>
      <w:tr>
        <w:tc>
          <w:tcPr>
            <w:tcW w:type="dxa" w:w="1872"/>
          </w:tcPr>
          <w:p>
            <w:pPr>
              <w:spacing w:line="360" w:lineRule="auto" w:after="0"/>
            </w:pPr>
            <w:r>
              <w:rPr>
                <w:rFonts w:ascii="Times New Roman" w:hAnsi="Times New Roman"/>
                <w:color w:val="000000"/>
                <w:sz w:val="24"/>
              </w:rPr>
              <w:t>6</w:t>
            </w:r>
          </w:p>
        </w:tc>
        <w:tc>
          <w:tcPr>
            <w:tcW w:type="dxa" w:w="1872"/>
          </w:tcPr>
          <w:p>
            <w:pPr>
              <w:spacing w:line="360" w:lineRule="auto" w:after="0"/>
            </w:pPr>
            <w:r>
              <w:rPr>
                <w:rFonts w:ascii="Times New Roman" w:hAnsi="Times New Roman"/>
                <w:color w:val="000000"/>
                <w:sz w:val="24"/>
              </w:rPr>
              <w:t>3:05–3:45</w:t>
            </w:r>
          </w:p>
        </w:tc>
        <w:tc>
          <w:tcPr>
            <w:tcW w:type="dxa" w:w="1872"/>
          </w:tcPr>
          <w:p>
            <w:pPr>
              <w:spacing w:line="360" w:lineRule="auto" w:after="0"/>
            </w:pPr>
            <w:r>
              <w:rPr>
                <w:rFonts w:ascii="Times New Roman" w:hAnsi="Times New Roman"/>
                <w:color w:val="000000"/>
                <w:sz w:val="24"/>
              </w:rPr>
              <w:t>40 s</w:t>
            </w:r>
          </w:p>
        </w:tc>
        <w:tc>
          <w:tcPr>
            <w:tcW w:type="dxa" w:w="1872"/>
          </w:tcPr>
          <w:p>
            <w:pPr>
              <w:spacing w:line="360" w:lineRule="auto" w:after="0"/>
            </w:pPr>
            <w:r>
              <w:rPr>
                <w:rFonts w:ascii="Times New Roman" w:hAnsi="Times New Roman"/>
                <w:color w:val="000000"/>
                <w:sz w:val="24"/>
              </w:rPr>
              <w:t>78</w:t>
            </w:r>
          </w:p>
        </w:tc>
        <w:tc>
          <w:tcPr>
            <w:tcW w:type="dxa" w:w="1872"/>
          </w:tcPr>
          <w:p>
            <w:pPr>
              <w:spacing w:line="360" w:lineRule="auto" w:after="0"/>
            </w:pPr>
            <w:r>
              <w:rPr>
                <w:rFonts w:ascii="Times New Roman" w:hAnsi="Times New Roman"/>
                <w:color w:val="000000"/>
                <w:sz w:val="24"/>
              </w:rPr>
              <w:t>0:36</w:t>
            </w:r>
          </w:p>
        </w:tc>
      </w:tr>
      <w:tr>
        <w:tc>
          <w:tcPr>
            <w:tcW w:type="dxa" w:w="1872"/>
          </w:tcPr>
          <w:p>
            <w:pPr>
              <w:spacing w:line="360" w:lineRule="auto" w:after="0"/>
            </w:pPr>
            <w:r>
              <w:rPr>
                <w:rFonts w:ascii="Times New Roman" w:hAnsi="Times New Roman"/>
                <w:color w:val="000000"/>
                <w:sz w:val="24"/>
              </w:rPr>
              <w:t>7</w:t>
            </w:r>
          </w:p>
        </w:tc>
        <w:tc>
          <w:tcPr>
            <w:tcW w:type="dxa" w:w="1872"/>
          </w:tcPr>
          <w:p>
            <w:pPr>
              <w:spacing w:line="360" w:lineRule="auto" w:after="0"/>
            </w:pPr>
            <w:r>
              <w:rPr>
                <w:rFonts w:ascii="Times New Roman" w:hAnsi="Times New Roman"/>
                <w:color w:val="000000"/>
                <w:sz w:val="24"/>
              </w:rPr>
              <w:t>3:45–4:30</w:t>
            </w:r>
          </w:p>
        </w:tc>
        <w:tc>
          <w:tcPr>
            <w:tcW w:type="dxa" w:w="1872"/>
          </w:tcPr>
          <w:p>
            <w:pPr>
              <w:spacing w:line="360" w:lineRule="auto" w:after="0"/>
            </w:pPr>
            <w:r>
              <w:rPr>
                <w:rFonts w:ascii="Times New Roman" w:hAnsi="Times New Roman"/>
                <w:color w:val="000000"/>
                <w:sz w:val="24"/>
              </w:rPr>
              <w:t>45 s</w:t>
            </w:r>
          </w:p>
        </w:tc>
        <w:tc>
          <w:tcPr>
            <w:tcW w:type="dxa" w:w="1872"/>
          </w:tcPr>
          <w:p>
            <w:pPr>
              <w:spacing w:line="360" w:lineRule="auto" w:after="0"/>
            </w:pPr>
            <w:r>
              <w:rPr>
                <w:rFonts w:ascii="Times New Roman" w:hAnsi="Times New Roman"/>
                <w:color w:val="000000"/>
                <w:sz w:val="24"/>
              </w:rPr>
              <w:t>93</w:t>
            </w:r>
          </w:p>
        </w:tc>
        <w:tc>
          <w:tcPr>
            <w:tcW w:type="dxa" w:w="1872"/>
          </w:tcPr>
          <w:p>
            <w:pPr>
              <w:spacing w:line="360" w:lineRule="auto" w:after="0"/>
            </w:pPr>
            <w:r>
              <w:rPr>
                <w:rFonts w:ascii="Times New Roman" w:hAnsi="Times New Roman"/>
                <w:color w:val="000000"/>
                <w:sz w:val="24"/>
              </w:rPr>
              <w:t>0:43</w:t>
            </w:r>
          </w:p>
        </w:tc>
      </w:tr>
      <w:tr>
        <w:tc>
          <w:tcPr>
            <w:tcW w:type="dxa" w:w="1872"/>
          </w:tcPr>
          <w:p>
            <w:pPr>
              <w:spacing w:line="360" w:lineRule="auto" w:after="0"/>
            </w:pPr>
            <w:r>
              <w:rPr>
                <w:rFonts w:ascii="Times New Roman" w:hAnsi="Times New Roman"/>
                <w:color w:val="000000"/>
                <w:sz w:val="24"/>
              </w:rPr>
              <w:t>8</w:t>
            </w:r>
          </w:p>
        </w:tc>
        <w:tc>
          <w:tcPr>
            <w:tcW w:type="dxa" w:w="1872"/>
          </w:tcPr>
          <w:p>
            <w:pPr>
              <w:spacing w:line="360" w:lineRule="auto" w:after="0"/>
            </w:pPr>
            <w:r>
              <w:rPr>
                <w:rFonts w:ascii="Times New Roman" w:hAnsi="Times New Roman"/>
                <w:color w:val="000000"/>
                <w:sz w:val="24"/>
              </w:rPr>
              <w:t>4:30–4:50</w:t>
            </w:r>
          </w:p>
        </w:tc>
        <w:tc>
          <w:tcPr>
            <w:tcW w:type="dxa" w:w="1872"/>
          </w:tcPr>
          <w:p>
            <w:pPr>
              <w:spacing w:line="360" w:lineRule="auto" w:after="0"/>
            </w:pPr>
            <w:r>
              <w:rPr>
                <w:rFonts w:ascii="Times New Roman" w:hAnsi="Times New Roman"/>
                <w:color w:val="000000"/>
                <w:sz w:val="24"/>
              </w:rPr>
              <w:t>20 s</w:t>
            </w:r>
          </w:p>
        </w:tc>
        <w:tc>
          <w:tcPr>
            <w:tcW w:type="dxa" w:w="1872"/>
          </w:tcPr>
          <w:p>
            <w:pPr>
              <w:spacing w:line="360" w:lineRule="auto" w:after="0"/>
            </w:pPr>
            <w:r>
              <w:rPr>
                <w:rFonts w:ascii="Times New Roman" w:hAnsi="Times New Roman"/>
                <w:color w:val="000000"/>
                <w:sz w:val="24"/>
              </w:rPr>
              <w:t>41</w:t>
            </w:r>
          </w:p>
        </w:tc>
        <w:tc>
          <w:tcPr>
            <w:tcW w:type="dxa" w:w="1872"/>
          </w:tcPr>
          <w:p>
            <w:pPr>
              <w:spacing w:line="360" w:lineRule="auto" w:after="0"/>
            </w:pPr>
            <w:r>
              <w:rPr>
                <w:rFonts w:ascii="Times New Roman" w:hAnsi="Times New Roman"/>
                <w:color w:val="000000"/>
                <w:sz w:val="24"/>
              </w:rPr>
              <w:t>0:19</w:t>
            </w:r>
          </w:p>
        </w:tc>
      </w:tr>
      <w:tr>
        <w:tc>
          <w:tcPr>
            <w:tcW w:type="dxa" w:w="1872"/>
          </w:tcPr>
          <w:p>
            <w:pPr>
              <w:spacing w:line="360" w:lineRule="auto" w:after="0"/>
            </w:pPr>
            <w:r>
              <w:rPr>
                <w:rFonts w:ascii="Times New Roman" w:hAnsi="Times New Roman"/>
                <w:color w:val="000000"/>
                <w:sz w:val="24"/>
              </w:rPr>
            </w:r>
            <w:r>
              <w:rPr>
                <w:rFonts w:ascii="Times New Roman" w:hAnsi="Times New Roman"/>
                <w:b/>
                <w:color w:val="000000"/>
                <w:sz w:val="24"/>
              </w:rPr>
              <w:t>Total</w:t>
            </w:r>
          </w:p>
        </w:tc>
        <w:tc>
          <w:tcPr>
            <w:tcW w:type="dxa" w:w="1872"/>
          </w:tcPr>
          <w:p>
            <w:pPr>
              <w:spacing w:line="360" w:lineRule="auto" w:after="0"/>
            </w:pPr>
            <w:r>
              <w:rPr>
                <w:rFonts w:ascii="Times New Roman" w:hAnsi="Times New Roman"/>
                <w:color w:val="000000"/>
                <w:sz w:val="24"/>
              </w:rPr>
            </w:r>
            <w:r>
              <w:rPr>
                <w:rFonts w:ascii="Times New Roman" w:hAnsi="Times New Roman"/>
                <w:b/>
                <w:color w:val="000000"/>
                <w:sz w:val="24"/>
              </w:rPr>
              <w:t>0:00–4:50</w:t>
            </w:r>
          </w:p>
        </w:tc>
        <w:tc>
          <w:tcPr>
            <w:tcW w:type="dxa" w:w="1872"/>
          </w:tcPr>
          <w:p>
            <w:pPr>
              <w:spacing w:line="360" w:lineRule="auto" w:after="0"/>
            </w:pPr>
            <w:r>
              <w:rPr>
                <w:rFonts w:ascii="Times New Roman" w:hAnsi="Times New Roman"/>
                <w:color w:val="000000"/>
                <w:sz w:val="24"/>
              </w:rPr>
            </w:r>
            <w:r>
              <w:rPr>
                <w:rFonts w:ascii="Times New Roman" w:hAnsi="Times New Roman"/>
                <w:b/>
                <w:color w:val="000000"/>
                <w:sz w:val="24"/>
              </w:rPr>
              <w:t>290 s</w:t>
            </w:r>
          </w:p>
        </w:tc>
        <w:tc>
          <w:tcPr>
            <w:tcW w:type="dxa" w:w="1872"/>
          </w:tcPr>
          <w:p>
            <w:pPr>
              <w:spacing w:line="360" w:lineRule="auto" w:after="0"/>
            </w:pPr>
            <w:r>
              <w:rPr>
                <w:rFonts w:ascii="Times New Roman" w:hAnsi="Times New Roman"/>
                <w:color w:val="000000"/>
                <w:sz w:val="24"/>
              </w:rPr>
            </w:r>
            <w:r>
              <w:rPr>
                <w:rFonts w:ascii="Times New Roman" w:hAnsi="Times New Roman"/>
                <w:b/>
                <w:color w:val="000000"/>
                <w:sz w:val="24"/>
              </w:rPr>
              <w:t>594</w:t>
            </w:r>
          </w:p>
        </w:tc>
        <w:tc>
          <w:tcPr>
            <w:tcW w:type="dxa" w:w="1872"/>
          </w:tcPr>
          <w:p>
            <w:pPr>
              <w:spacing w:line="360" w:lineRule="auto" w:after="0"/>
            </w:pPr>
            <w:r>
              <w:rPr>
                <w:rFonts w:ascii="Times New Roman" w:hAnsi="Times New Roman"/>
                <w:color w:val="000000"/>
                <w:sz w:val="24"/>
              </w:rPr>
            </w:r>
            <w:r>
              <w:rPr>
                <w:rFonts w:ascii="Times New Roman" w:hAnsi="Times New Roman"/>
                <w:b/>
                <w:color w:val="000000"/>
                <w:sz w:val="24"/>
              </w:rPr>
              <w:t>4:34</w:t>
            </w:r>
          </w:p>
        </w:tc>
      </w:tr>
    </w:tbl>
    <w:p/>
    <w:p>
      <w:r>
        <w:rPr>
          <w:b w:val="0"/>
        </w:rPr>
        <w:t>El guion tiene 594 palabras. A 130 palabras por minuto dura unos 4:34 minutos, dentro del rango de 4:30 a 5:00 y cerca de los 4:50 de la escaleta. Al decir las cifras en voz alta (por ejemplo, «2024» son tres palabras y «93 %», cuatro), el texto equivale a unas 647 palabras, es decir, unos 4:59 minutos. Si en el ensayo con cronómetro se pasa de 5:00, lo primero que se puede recortar es la frase del empleo en tecnología (diapositiva 3) y la del costo del dengue (diapositiva 4), porque esas cifras ya están en pantalla.</w:t>
      </w:r>
    </w:p>
    <w:p>
      <w:pPr>
        <w:pStyle w:val="Heading1"/>
      </w:pPr>
      <w:r>
        <w:t>Posibles preguntas del docente</w:t>
      </w:r>
    </w:p>
    <w:p>
      <w:pPr>
        <w:keepNext/>
        <w:spacing w:after="0"/>
      </w:pPr>
      <w:r>
        <w:rPr>
          <w:b/>
        </w:rPr>
        <w:t>1. ¿Si ya existe DengueIA, para qué AedesAlert?</w:t>
      </w:r>
    </w:p>
    <w:p>
      <w:r>
        <w:rPr>
          <w:b w:val="0"/>
        </w:rPr>
        <w:t>DengueIA demuestra que anticipar funciona en Cali, con un 93 % de efectividad reportada. Pero ninguna de las fuentes que revisé dice que sus datos, su código o su mapa sean públicos. AedesAlert apuesta por lo abierto: datos abiertos, código libre y resultados por comuna, para que los otros ocho municipios en riesgo muy alto lo puedan replicar. No compite: complementa.</w:t>
      </w:r>
    </w:p>
    <w:p>
      <w:pPr>
        <w:keepNext/>
        <w:spacing w:after="0"/>
      </w:pPr>
      <w:r>
        <w:rPr>
          <w:b/>
        </w:rPr>
        <w:t>2. ¿De dónde saca los datos?</w:t>
      </w:r>
    </w:p>
    <w:p>
      <w:r>
        <w:rPr>
          <w:b w:val="0"/>
        </w:rPr>
        <w:t>Los casos vienen del sistema nacional de vigilancia en salud pública, el SIVIGILA, y el clima (lluvia, temperatura y humedad) de NASA POWER. Lo que aún no está confirmado es que haya varios años de datos por comuna que incluyan el brote de 2024. Por eso el primer paso es revisar qué publica Datos Abiertos Cali y pedir lo que falte a la Secretaría de Salud con un derecho de petición.</w:t>
      </w:r>
    </w:p>
    <w:p>
      <w:pPr>
        <w:keepNext/>
        <w:spacing w:after="0"/>
      </w:pPr>
      <w:r>
        <w:rPr>
          <w:b/>
        </w:rPr>
        <w:t>3. ¿Por qué 4 y no 5 en ecosistema?</w:t>
      </w:r>
    </w:p>
    <w:p>
      <w:r>
        <w:rPr>
          <w:b w:val="0"/>
        </w:rPr>
        <w:t>Porque hoy no hay una convocatoria de cofinanciación abierta. Fondo Emprender abrió 12 convocatorias en 2026, por más de 282.000 millones de pesos en capital semilla, pero cerraron en abril. ColombIA Inteligente terminó en agosto y Valle INN+ ya adjudicó la suya. Hay apoyo gratuito para empezar, Tecnoparque y NIDO, pero no dinero disponible hoy.</w:t>
      </w:r>
    </w:p>
    <w:p>
      <w:pPr>
        <w:keepNext/>
        <w:spacing w:after="0"/>
      </w:pPr>
      <w:r>
        <w:rPr>
          <w:b/>
        </w:rPr>
        <w:t>4. ¿Quién pagaría por esto?</w:t>
      </w:r>
    </w:p>
    <w:p>
      <w:r>
        <w:rPr>
          <w:b w:val="0"/>
        </w:rPr>
        <w:t>Todavía no tengo un modelo de pago validado: la demanda aún no está validada, y ese es el riesgo principal. Los usuarios naturales son las secretarías de salud de los municipios en riesgo muy alto y, por la línea HealthTech, clínicas, EPS y laboratorios. Para arrancar no hace falta pagar: Tecnoparque es gratuito, y con NIDO falta confirmar los requisitos de entrada para una idea sin empresa constituida. La cofinanciación se buscaría en un próximo ciclo del Fondo Emprender.</w:t>
      </w:r>
    </w:p>
    <w:p>
      <w:pPr>
        <w:keepNext/>
        <w:spacing w:after="0"/>
      </w:pPr>
      <w:r>
        <w:rPr>
          <w:b/>
        </w:rPr>
        <w:t>5. ¿Qué tan preciso será el modelo?</w:t>
      </w:r>
    </w:p>
    <w:p>
      <w:r>
        <w:rPr>
          <w:b w:val="0"/>
        </w:rPr>
        <w:t>Aún no tengo una cifra propia de precisión para AedesAlert, y no la voy a inventar. Lo que sí hay es evidencia de que se puede: en Cali, el clima de dos a cinco semanas antes mejora la predicción por barrio, y en Colombia un Random Forest con casos y clima rezagados supera a ARIMA. Voy a comparar Random Forest y XGBoost contra un modelo SARIMA como línea base.</w:t>
      </w:r>
    </w:p>
    <w:p>
      <w:pPr>
        <w:keepNext/>
        <w:spacing w:after="0"/>
      </w:pPr>
      <w:r>
        <w:rPr>
          <w:b/>
        </w:rPr>
        <w:t>6. ¿Por qué 5 en políticas, si no citas una meta del plan de Cali?</w:t>
      </w:r>
    </w:p>
    <w:p>
      <w:r>
        <w:rPr>
          <w:b w:val="0"/>
        </w:rPr>
        <w:t>Tiene razón: no verifiqué una meta literal del Plan de Desarrollo de Cali sobre dengue, porque la página de la Alcaldía no abrió. El 5 se sostiene en que la planeación en salud de Cali prioriza el dengue y en que la ciudad ya usa inteligencia artificial con DengueIA. Si se exige esa meta literal, un 4 también sería defendible.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cs="Times New Roman"/>
      <w:i w:val="0"/>
      <w:color w:val="000000"/>
      <w:sz w:val="24"/>
      <w:lang w:val="es-CO" w:eastAsia="es-C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heme="majorBidi"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360" w:lineRule="auto" w:before="240"/>
      <w:contextualSpacing/>
    </w:pPr>
    <w:rPr>
      <w:rFonts w:cstheme="majorBidi" w:ascii="Times New Roman" w:hAnsi="Times New Roman" w:eastAsia="Times New Roman" w:cs="Times New Roman"/>
      <w:b/>
      <w:i w:val="0"/>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120" w:line="360" w:lineRule="auto" w:before="0"/>
    </w:pPr>
    <w:rPr>
      <w:rFonts w:ascii="Times New Roman" w:hAnsi="Times New Roman" w:eastAsia="Times New Roman" w:cs="Times New Roman"/>
      <w:i w:val="0"/>
      <w:color w:val="000000"/>
      <w:sz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de la presentación · AedesAlert Cali</dc:title>
  <dc:subject/>
  <dc:creator>Juan Diego Nieto</dc:creator>
  <cp:keywords/>
  <dc:description>generated by python-docx</dc:description>
  <cp:lastModifiedBy/>
  <cp:revision>1</cp:revision>
  <dcterms:created xsi:type="dcterms:W3CDTF">2013-12-23T23:15:00Z</dcterms:created>
  <dcterms:modified xsi:type="dcterms:W3CDTF">2013-12-23T23:15:00Z</dcterms:modified>
  <cp:category/>
</cp:coreProperties>
</file>