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B1020"/>
          <w:sz w:val="40"/>
          <w:szCs w:val="40"/>
        </w:rPr>
        <w:t xml:space="preserve">Nota metodológica</w:t>
      </w:r>
    </w:p>
    <w:p>
      <w:pPr>
        <w:spacing w:after="120" w:line="300"/>
      </w:pPr>
      <w:r>
        <w:rPr>
          <w:color w:val="5B4BDB"/>
          <w:sz w:val="26"/>
          <w:szCs w:val="26"/>
        </w:rPr>
        <w:t xml:space="preserve">Sitio narrado del curso «Toma de decisiones y comunicación estratégica en salud»</w:t>
      </w:r>
    </w:p>
    <w:p>
      <w:pPr>
        <w:spacing w:after="120" w:line="300"/>
      </w:pPr>
      <w:r>
        <w:rPr>
          <w:b/>
          <w:bCs/>
        </w:rPr>
        <w:t xml:space="preserve">Autor: </w:t>
      </w:r>
      <w:r>
        <w:t xml:space="preserve">Juan Pablo Arrobo, UTPL · registro VC-2026-021 (prueba individual)</w:t>
      </w:r>
    </w:p>
    <w:p>
      <w:pPr>
        <w:spacing w:after="120" w:line="300"/>
      </w:pPr>
      <w:r>
        <w:rPr>
          <w:b/>
          <w:bCs/>
        </w:rPr>
        <w:t xml:space="preserve">Contexto: </w:t>
      </w:r>
      <w:r>
        <w:t xml:space="preserve">Vibe Coding CEDIA 2026, lección R5.3; entregable del módulo 5 junto con la presentación</w:t>
      </w:r>
    </w:p>
    <w:p>
      <w:pPr>
        <w:spacing w:after="120" w:line="300"/>
      </w:pPr>
      <w:r>
        <w:rPr>
          <w:b/>
          <w:bCs/>
        </w:rPr>
        <w:t xml:space="preserve">Fecha y versión de la nota: </w:t>
      </w:r>
      <w:r>
        <w:t xml:space="preserve">10 de octubre de 2026 · versión 1</w:t>
      </w:r>
    </w:p>
    <w:p>
      <w:pPr>
        <w:spacing w:after="120" w:line="300"/>
      </w:pPr>
      <w:r>
        <w:rPr>
          <w:i/>
          <w:iCs/>
        </w:rPr>
        <w:t xml:space="preserve">Las afirmaciones marcadas como «Pendiente» describen algo que todavía no ocurrió o que el autor aún no confirmó.</w:t>
      </w:r>
    </w:p>
    <w:p>
      <w:pPr>
        <w:pStyle w:val="Heading1"/>
        <w:spacing w:after="120" w:before="280"/>
      </w:pPr>
      <w:r>
        <w:t xml:space="preserve">1. Propósito y límite</w:t>
      </w:r>
    </w:p>
    <w:p>
      <w:pPr>
        <w:spacing w:after="120" w:line="300"/>
      </w:pPr>
      <w:r>
        <w:t xml:space="preserve">La herramienta convierte una clase sincrónica apoyada en diapositivas en una lección que se escucha. Toma las 22 diapositivas de la semana 1 de la asignatura FDAV-02188 y produce una lección narrada de 14 diapositivas, en español y en inglés, con subtítulos, transcripción y tres comprobaciones formativas. La lección vive en la pestaña Recursos del sitio del curso, construido con la guía de proyecto 21, y se distribuye además como dos paquetes SCORM 2004 para el Aula Virtual. Una guía de voz bilingüe recorre la página y señala lo que nombra.</w:t>
      </w:r>
    </w:p>
    <w:p>
      <w:pPr>
        <w:spacing w:after="120" w:line="300"/>
      </w:pPr>
      <w:r>
        <w:t xml:space="preserve">El límite es claro. La herramienta no reemplaza la sesión sincrónica ni la retroalimentación del docente, y sus comprobaciones no califican. Tampoco registra evidencias cifradas de las respuestas, porque ese módulo exige claves que solo el docente puede crear. La narración de la lección y de la guía del sitio usa una voz sintética abierta (Piper) y es provisional; la narración de los videos del proyecto sí se produjo con ElevenLabs.</w:t>
      </w:r>
    </w:p>
    <w:p>
      <w:pPr>
        <w:pStyle w:val="Heading1"/>
        <w:spacing w:after="120" w:before="280"/>
      </w:pPr>
      <w:r>
        <w:t xml:space="preserve">2. Recorrido revisable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300"/>
        <w:gridCol w:w="2660"/>
      </w:tblGrid>
      <w:tr>
        <w:trPr>
          <w:tblHeader/>
        </w:trPr>
        <w:tc>
          <w:tcPr>
            <w:tcW w:type="dxa" w:w="1700"/>
            <w:tcBorders>
              <w:top w:val="single" w:color="C9C6DD" w:sz="4"/>
              <w:left w:val="single" w:color="C9C6DD" w:sz="4"/>
              <w:bottom w:val="single" w:color="C9C6DD" w:sz="4"/>
              <w:right w:val="single" w:color="C9C6DD" w:sz="4"/>
            </w:tcBorders>
            <w:shd w:fill="E6E3F7" w:color="auto" w:val="clear"/>
            <w:tcMar>
              <w:top w:type="dxa" w:w="60"/>
              <w:left w:type="dxa" w:w="90"/>
              <w:bottom w:type="dxa" w:w="60"/>
              <w:right w:type="dxa" w:w="90"/>
            </w:tcMar>
          </w:tcPr>
          <w:p>
            <w:r>
              <w:rPr>
                <w:b/>
                <w:bCs/>
                <w:sz w:val="19"/>
                <w:szCs w:val="19"/>
              </w:rPr>
              <w:t xml:space="preserve">Paso</w:t>
            </w:r>
          </w:p>
        </w:tc>
        <w:tc>
          <w:tcPr>
            <w:tcW w:type="dxa" w:w="2700"/>
            <w:tcBorders>
              <w:top w:val="single" w:color="C9C6DD" w:sz="4"/>
              <w:left w:val="single" w:color="C9C6DD" w:sz="4"/>
              <w:bottom w:val="single" w:color="C9C6DD" w:sz="4"/>
              <w:right w:val="single" w:color="C9C6DD" w:sz="4"/>
            </w:tcBorders>
            <w:shd w:fill="E6E3F7" w:color="auto" w:val="clear"/>
            <w:tcMar>
              <w:top w:type="dxa" w:w="60"/>
              <w:left w:type="dxa" w:w="90"/>
              <w:bottom w:type="dxa" w:w="60"/>
              <w:right w:type="dxa" w:w="90"/>
            </w:tcMar>
          </w:tcPr>
          <w:p>
            <w:r>
              <w:rPr>
                <w:b/>
                <w:bCs/>
                <w:sz w:val="19"/>
                <w:szCs w:val="19"/>
              </w:rPr>
              <w:t xml:space="preserve">Entrada y regla</w:t>
            </w:r>
          </w:p>
        </w:tc>
        <w:tc>
          <w:tcPr>
            <w:tcW w:type="dxa" w:w="2300"/>
            <w:tcBorders>
              <w:top w:val="single" w:color="C9C6DD" w:sz="4"/>
              <w:left w:val="single" w:color="C9C6DD" w:sz="4"/>
              <w:bottom w:val="single" w:color="C9C6DD" w:sz="4"/>
              <w:right w:val="single" w:color="C9C6DD" w:sz="4"/>
            </w:tcBorders>
            <w:shd w:fill="E6E3F7" w:color="auto" w:val="clear"/>
            <w:tcMar>
              <w:top w:type="dxa" w:w="60"/>
              <w:left w:type="dxa" w:w="90"/>
              <w:bottom w:type="dxa" w:w="60"/>
              <w:right w:type="dxa" w:w="90"/>
            </w:tcMar>
          </w:tcPr>
          <w:p>
            <w:r>
              <w:rPr>
                <w:b/>
                <w:bCs/>
                <w:sz w:val="19"/>
                <w:szCs w:val="19"/>
              </w:rPr>
              <w:t xml:space="preserve">Resultado</w:t>
            </w:r>
          </w:p>
        </w:tc>
        <w:tc>
          <w:tcPr>
            <w:tcW w:type="dxa" w:w="2660"/>
            <w:tcBorders>
              <w:top w:val="single" w:color="C9C6DD" w:sz="4"/>
              <w:left w:val="single" w:color="C9C6DD" w:sz="4"/>
              <w:bottom w:val="single" w:color="C9C6DD" w:sz="4"/>
              <w:right w:val="single" w:color="C9C6DD" w:sz="4"/>
            </w:tcBorders>
            <w:shd w:fill="E6E3F7" w:color="auto" w:val="clear"/>
            <w:tcMar>
              <w:top w:type="dxa" w:w="60"/>
              <w:left w:type="dxa" w:w="90"/>
              <w:bottom w:type="dxa" w:w="60"/>
              <w:right w:type="dxa" w:w="90"/>
            </w:tcMar>
          </w:tcPr>
          <w:p>
            <w:r>
              <w:rPr>
                <w:b/>
                <w:bCs/>
                <w:sz w:val="19"/>
                <w:szCs w:val="19"/>
              </w:rPr>
              <w:t xml:space="preserve">Evidencia</w:t>
            </w:r>
          </w:p>
        </w:tc>
      </w:tr>
      <w:tr>
        <w:trPr>
          <w:tblHeader w:val="false"/>
        </w:trPr>
        <w:tc>
          <w:tcPr>
            <w:tcW w:type="dxa" w:w="1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Guiones</w:t>
            </w:r>
          </w:p>
        </w:tc>
        <w:tc>
          <w:tcPr>
            <w:tcW w:type="dxa" w:w="2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Diapositivas originales y tema pedido. Reglas de narración: una idea por oración, números en letras, siglas espaciadas, sin coma tras palabras de arranque; presupuesto de palabras por diapositiva.</w:t>
            </w:r>
          </w:p>
        </w:tc>
        <w:tc>
          <w:tcPr>
            <w:tcW w:type="dxa" w:w="23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14 guiones por idioma para la lección, 14 oraciones por idioma para la guía y 10 guiones por idioma para la presentación.</w:t>
            </w:r>
          </w:p>
        </w:tc>
        <w:tc>
          <w:tcPr>
            <w:tcW w:type="dxa" w:w="266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Auditor auditar_guion.py: 0 errores y 0 avisos en los 30 textos de lección y guía, y en los 20 de la presentación.</w:t>
            </w:r>
          </w:p>
        </w:tc>
      </w:tr>
      <w:tr>
        <w:trPr>
          <w:tblHeader w:val="false"/>
        </w:trPr>
        <w:tc>
          <w:tcPr>
            <w:tcW w:type="dxa" w:w="1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Diapositivas</w:t>
            </w:r>
          </w:p>
        </w:tc>
        <w:tc>
          <w:tcPr>
            <w:tcW w:type="dxa" w:w="2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Contenido del docente reorganizado; ejemplos de gestión de salud en lugar de fotos de figuras públicas.</w:t>
            </w:r>
          </w:p>
        </w:tc>
        <w:tc>
          <w:tcPr>
            <w:tcW w:type="dxa" w:w="23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14 diapositivas por idioma en 1920 × 1080.</w:t>
            </w:r>
          </w:p>
        </w:tc>
        <w:tc>
          <w:tcPr>
            <w:tcW w:type="dxa" w:w="266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Revisión visual de las hojas de contacto; ningún desborde de texto.</w:t>
            </w:r>
          </w:p>
        </w:tc>
      </w:tr>
      <w:tr>
        <w:trPr>
          <w:tblHeader w:val="false"/>
        </w:trPr>
        <w:tc>
          <w:tcPr>
            <w:tcW w:type="dxa" w:w="1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Guía de voz</w:t>
            </w:r>
          </w:p>
        </w:tc>
        <w:tc>
          <w:tcPr>
            <w:tcW w:type="dxa" w:w="2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19 pasos atados a palabras ancla de cada oración.</w:t>
            </w:r>
          </w:p>
        </w:tc>
        <w:tc>
          <w:tcPr>
            <w:tcW w:type="dxa" w:w="23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Guía bilingüe sobre la página publicada.</w:t>
            </w:r>
          </w:p>
        </w:tc>
        <w:tc>
          <w:tcPr>
            <w:tcW w:type="dxa" w:w="266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revisar_recorrido.py: 19 de 19 pasos con su elemento encerrado, en español, en inglés y a 390 × 844.</w:t>
            </w:r>
          </w:p>
        </w:tc>
      </w:tr>
      <w:tr>
        <w:trPr>
          <w:tblHeader w:val="false"/>
        </w:trPr>
        <w:tc>
          <w:tcPr>
            <w:tcW w:type="dxa" w:w="1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Lección</w:t>
            </w:r>
          </w:p>
        </w:tc>
        <w:tc>
          <w:tcPr>
            <w:tcW w:type="dxa" w:w="2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leccion.json validado por construir_leccion.py.</w:t>
            </w:r>
          </w:p>
        </w:tc>
        <w:tc>
          <w:tcPr>
            <w:tcW w:type="dxa" w:w="23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Lección de unos 9,8 min (ES) y 9,1 min (EN), 3 comprobaciones; paquetes SCORM 2004.</w:t>
            </w:r>
          </w:p>
        </w:tc>
        <w:tc>
          <w:tcPr>
            <w:tcW w:type="dxa" w:w="266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Prueba en Chromium: subtítulos sincronizados, comprobación visible y botón Siguiente bloqueado hasta responder.</w:t>
            </w:r>
          </w:p>
        </w:tc>
      </w:tr>
      <w:tr>
        <w:trPr>
          <w:tblHeader w:val="false"/>
        </w:trPr>
        <w:tc>
          <w:tcPr>
            <w:tcW w:type="dxa" w:w="1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Videos</w:t>
            </w:r>
          </w:p>
        </w:tc>
        <w:tc>
          <w:tcPr>
            <w:tcW w:type="dxa" w:w="2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20 clips de ElevenLabs (modelo multilingüe v2, misma voz en ambos idiomas), una imagen por diapositiva.</w:t>
            </w:r>
          </w:p>
        </w:tc>
        <w:tc>
          <w:tcPr>
            <w:tcW w:type="dxa" w:w="23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Videos de 4:58 (ES) y 4:40 (EN), 1920 × 1080.</w:t>
            </w:r>
          </w:p>
        </w:tc>
        <w:tc>
          <w:tcPr>
            <w:tcW w:type="dxa" w:w="266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ffprobe: duración, resolución y códec; un fotograma revisado por diapositiva.</w:t>
            </w:r>
          </w:p>
        </w:tc>
      </w:tr>
    </w:tbl>
    <w:p>
      <w:pPr>
        <w:pStyle w:val="Heading1"/>
        <w:spacing w:after="120" w:before="280"/>
      </w:pPr>
      <w:r>
        <w:t xml:space="preserve">3. Aportes de la IA y de las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300"/>
        <w:gridCol w:w="1900"/>
        <w:gridCol w:w="1760"/>
      </w:tblGrid>
      <w:tr>
        <w:trPr>
          <w:tblHeader/>
        </w:trPr>
        <w:tc>
          <w:tcPr>
            <w:tcW w:type="dxa" w:w="1700"/>
            <w:tcBorders>
              <w:top w:val="single" w:color="C9C6DD" w:sz="4"/>
              <w:left w:val="single" w:color="C9C6DD" w:sz="4"/>
              <w:bottom w:val="single" w:color="C9C6DD" w:sz="4"/>
              <w:right w:val="single" w:color="C9C6DD" w:sz="4"/>
            </w:tcBorders>
            <w:shd w:fill="E6E3F7" w:color="auto" w:val="clear"/>
            <w:tcMar>
              <w:top w:type="dxa" w:w="60"/>
              <w:left w:type="dxa" w:w="90"/>
              <w:bottom w:type="dxa" w:w="60"/>
              <w:right w:type="dxa" w:w="90"/>
            </w:tcMar>
          </w:tcPr>
          <w:p>
            <w:r>
              <w:rPr>
                <w:b/>
                <w:bCs/>
                <w:sz w:val="19"/>
                <w:szCs w:val="19"/>
              </w:rPr>
              <w:t xml:space="preserve">Intervención</w:t>
            </w:r>
          </w:p>
        </w:tc>
        <w:tc>
          <w:tcPr>
            <w:tcW w:type="dxa" w:w="1700"/>
            <w:tcBorders>
              <w:top w:val="single" w:color="C9C6DD" w:sz="4"/>
              <w:left w:val="single" w:color="C9C6DD" w:sz="4"/>
              <w:bottom w:val="single" w:color="C9C6DD" w:sz="4"/>
              <w:right w:val="single" w:color="C9C6DD" w:sz="4"/>
            </w:tcBorders>
            <w:shd w:fill="E6E3F7" w:color="auto" w:val="clear"/>
            <w:tcMar>
              <w:top w:type="dxa" w:w="60"/>
              <w:left w:type="dxa" w:w="90"/>
              <w:bottom w:type="dxa" w:w="60"/>
              <w:right w:type="dxa" w:w="90"/>
            </w:tcMar>
          </w:tcPr>
          <w:p>
            <w:r>
              <w:rPr>
                <w:b/>
                <w:bCs/>
                <w:sz w:val="19"/>
                <w:szCs w:val="19"/>
              </w:rPr>
              <w:t xml:space="preserve">Herramienta</w:t>
            </w:r>
          </w:p>
        </w:tc>
        <w:tc>
          <w:tcPr>
            <w:tcW w:type="dxa" w:w="2300"/>
            <w:tcBorders>
              <w:top w:val="single" w:color="C9C6DD" w:sz="4"/>
              <w:left w:val="single" w:color="C9C6DD" w:sz="4"/>
              <w:bottom w:val="single" w:color="C9C6DD" w:sz="4"/>
              <w:right w:val="single" w:color="C9C6DD" w:sz="4"/>
            </w:tcBorders>
            <w:shd w:fill="E6E3F7" w:color="auto" w:val="clear"/>
            <w:tcMar>
              <w:top w:type="dxa" w:w="60"/>
              <w:left w:type="dxa" w:w="90"/>
              <w:bottom w:type="dxa" w:w="60"/>
              <w:right w:type="dxa" w:w="90"/>
            </w:tcMar>
          </w:tcPr>
          <w:p>
            <w:r>
              <w:rPr>
                <w:b/>
                <w:bCs/>
                <w:sz w:val="19"/>
                <w:szCs w:val="19"/>
              </w:rPr>
              <w:t xml:space="preserve">Tarea</w:t>
            </w:r>
          </w:p>
        </w:tc>
        <w:tc>
          <w:tcPr>
            <w:tcW w:type="dxa" w:w="1900"/>
            <w:tcBorders>
              <w:top w:val="single" w:color="C9C6DD" w:sz="4"/>
              <w:left w:val="single" w:color="C9C6DD" w:sz="4"/>
              <w:bottom w:val="single" w:color="C9C6DD" w:sz="4"/>
              <w:right w:val="single" w:color="C9C6DD" w:sz="4"/>
            </w:tcBorders>
            <w:shd w:fill="E6E3F7" w:color="auto" w:val="clear"/>
            <w:tcMar>
              <w:top w:type="dxa" w:w="60"/>
              <w:left w:type="dxa" w:w="90"/>
              <w:bottom w:type="dxa" w:w="60"/>
              <w:right w:type="dxa" w:w="90"/>
            </w:tcMar>
          </w:tcPr>
          <w:p>
            <w:r>
              <w:rPr>
                <w:b/>
                <w:bCs/>
                <w:sz w:val="19"/>
                <w:szCs w:val="19"/>
              </w:rPr>
              <w:t xml:space="preserve">Producto</w:t>
            </w:r>
          </w:p>
        </w:tc>
        <w:tc>
          <w:tcPr>
            <w:tcW w:type="dxa" w:w="1760"/>
            <w:tcBorders>
              <w:top w:val="single" w:color="C9C6DD" w:sz="4"/>
              <w:left w:val="single" w:color="C9C6DD" w:sz="4"/>
              <w:bottom w:val="single" w:color="C9C6DD" w:sz="4"/>
              <w:right w:val="single" w:color="C9C6DD" w:sz="4"/>
            </w:tcBorders>
            <w:shd w:fill="E6E3F7" w:color="auto" w:val="clear"/>
            <w:tcMar>
              <w:top w:type="dxa" w:w="60"/>
              <w:left w:type="dxa" w:w="90"/>
              <w:bottom w:type="dxa" w:w="60"/>
              <w:right w:type="dxa" w:w="90"/>
            </w:tcMar>
          </w:tcPr>
          <w:p>
            <w:r>
              <w:rPr>
                <w:b/>
                <w:bCs/>
                <w:sz w:val="19"/>
                <w:szCs w:val="19"/>
              </w:rPr>
              <w:t xml:space="preserve">Quién revisó</w:t>
            </w:r>
          </w:p>
        </w:tc>
      </w:tr>
      <w:tr>
        <w:trPr>
          <w:tblHeader w:val="false"/>
        </w:trPr>
        <w:tc>
          <w:tcPr>
            <w:tcW w:type="dxa" w:w="1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Tema y alcance</w:t>
            </w:r>
          </w:p>
        </w:tc>
        <w:tc>
          <w:tcPr>
            <w:tcW w:type="dxa" w:w="1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Persona</w:t>
            </w:r>
          </w:p>
        </w:tc>
        <w:tc>
          <w:tcPr>
            <w:tcW w:type="dxa" w:w="23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Definir el tema, el alcance y los idiomas</w:t>
            </w:r>
          </w:p>
        </w:tc>
        <w:tc>
          <w:tcPr>
            <w:tcW w:type="dxa" w:w="19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Encargo del proyecto</w:t>
            </w:r>
          </w:p>
        </w:tc>
        <w:tc>
          <w:tcPr>
            <w:tcW w:type="dxa" w:w="176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Autor</w:t>
            </w:r>
          </w:p>
        </w:tc>
      </w:tr>
      <w:tr>
        <w:trPr>
          <w:tblHeader w:val="false"/>
        </w:trPr>
        <w:tc>
          <w:tcPr>
            <w:tcW w:type="dxa" w:w="1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Ejemplos de gestos</w:t>
            </w:r>
          </w:p>
        </w:tc>
        <w:tc>
          <w:tcPr>
            <w:tcW w:type="dxa" w:w="1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Persona</w:t>
            </w:r>
          </w:p>
        </w:tc>
        <w:tc>
          <w:tcPr>
            <w:tcW w:type="dxa" w:w="23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Decidir reemplazar fotos de políticos por escenas de gestión de salud</w:t>
            </w:r>
          </w:p>
        </w:tc>
        <w:tc>
          <w:tcPr>
            <w:tcW w:type="dxa" w:w="19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Diapositivas 9 a 12</w:t>
            </w:r>
          </w:p>
        </w:tc>
        <w:tc>
          <w:tcPr>
            <w:tcW w:type="dxa" w:w="176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Autor (decisión del 10/10/2026)</w:t>
            </w:r>
          </w:p>
        </w:tc>
      </w:tr>
      <w:tr>
        <w:trPr>
          <w:tblHeader w:val="false"/>
        </w:trPr>
        <w:tc>
          <w:tcPr>
            <w:tcW w:type="dxa" w:w="1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Guiones y traducción</w:t>
            </w:r>
          </w:p>
        </w:tc>
        <w:tc>
          <w:tcPr>
            <w:tcW w:type="dxa" w:w="1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Claude (Anthropic)</w:t>
            </w:r>
          </w:p>
        </w:tc>
        <w:tc>
          <w:tcPr>
            <w:tcW w:type="dxa" w:w="23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Redactar la narración y su equivalente en inglés</w:t>
            </w:r>
          </w:p>
        </w:tc>
        <w:tc>
          <w:tcPr>
            <w:tcW w:type="dxa" w:w="19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Guiones de lección, guía y presentación</w:t>
            </w:r>
          </w:p>
        </w:tc>
        <w:tc>
          <w:tcPr>
            <w:tcW w:type="dxa" w:w="176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Pendiente: lectura completa del autor</w:t>
            </w:r>
          </w:p>
        </w:tc>
      </w:tr>
      <w:tr>
        <w:trPr>
          <w:tblHeader w:val="false"/>
        </w:trPr>
        <w:tc>
          <w:tcPr>
            <w:tcW w:type="dxa" w:w="1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Categorías de Ekman y Friesen (1969)</w:t>
            </w:r>
          </w:p>
        </w:tc>
        <w:tc>
          <w:tcPr>
            <w:tcW w:type="dxa" w:w="1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Claude (Anthropic)</w:t>
            </w:r>
          </w:p>
        </w:tc>
        <w:tc>
          <w:tcPr>
            <w:tcW w:type="dxa" w:w="23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Añadir una clasificación que la diapositiva original no desarrollaba</w:t>
            </w:r>
          </w:p>
        </w:tc>
        <w:tc>
          <w:tcPr>
            <w:tcW w:type="dxa" w:w="19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Diapositiva 9 de la lección</w:t>
            </w:r>
          </w:p>
        </w:tc>
        <w:tc>
          <w:tcPr>
            <w:tcW w:type="dxa" w:w="176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Pendiente: confirmación del autor</w:t>
            </w:r>
          </w:p>
        </w:tc>
      </w:tr>
      <w:tr>
        <w:trPr>
          <w:tblHeader w:val="false"/>
        </w:trPr>
        <w:tc>
          <w:tcPr>
            <w:tcW w:type="dxa" w:w="1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Diapositivas, sitio y empaquetado</w:t>
            </w:r>
          </w:p>
        </w:tc>
        <w:tc>
          <w:tcPr>
            <w:tcW w:type="dxa" w:w="1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Claude con Playwright, ffmpeg y skills del curso</w:t>
            </w:r>
          </w:p>
        </w:tc>
        <w:tc>
          <w:tcPr>
            <w:tcW w:type="dxa" w:w="23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Construir diapositivas, lección, guía y SCORM</w:t>
            </w:r>
          </w:p>
        </w:tc>
        <w:tc>
          <w:tcPr>
            <w:tcW w:type="dxa" w:w="19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Sitio publicado y paquetes</w:t>
            </w:r>
          </w:p>
        </w:tc>
        <w:tc>
          <w:tcPr>
            <w:tcW w:type="dxa" w:w="176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Pruebas automáticas; pendiente recorrido del autor</w:t>
            </w:r>
          </w:p>
        </w:tc>
      </w:tr>
      <w:tr>
        <w:trPr>
          <w:tblHeader w:val="false"/>
        </w:trPr>
        <w:tc>
          <w:tcPr>
            <w:tcW w:type="dxa" w:w="1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Voz de la lección</w:t>
            </w:r>
          </w:p>
        </w:tc>
        <w:tc>
          <w:tcPr>
            <w:tcW w:type="dxa" w:w="1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Piper (código abierto)</w:t>
            </w:r>
          </w:p>
        </w:tc>
        <w:tc>
          <w:tcPr>
            <w:tcW w:type="dxa" w:w="23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Sintetizar la narración provisional</w:t>
            </w:r>
          </w:p>
        </w:tc>
        <w:tc>
          <w:tcPr>
            <w:tcW w:type="dxa" w:w="19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Audios de la lección y de la guía</w:t>
            </w:r>
          </w:p>
        </w:tc>
        <w:tc>
          <w:tcPr>
            <w:tcW w:type="dxa" w:w="176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Pendiente: escucha completa</w:t>
            </w:r>
          </w:p>
        </w:tc>
      </w:tr>
      <w:tr>
        <w:trPr>
          <w:tblHeader w:val="false"/>
        </w:trPr>
        <w:tc>
          <w:tcPr>
            <w:tcW w:type="dxa" w:w="1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Voz de los videos</w:t>
            </w:r>
          </w:p>
        </w:tc>
        <w:tc>
          <w:tcPr>
            <w:tcW w:type="dxa" w:w="17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ElevenLabs vía conector de Claude</w:t>
            </w:r>
          </w:p>
        </w:tc>
        <w:tc>
          <w:tcPr>
            <w:tcW w:type="dxa" w:w="23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Narrar los 20 clips</w:t>
            </w:r>
          </w:p>
        </w:tc>
        <w:tc>
          <w:tcPr>
            <w:tcW w:type="dxa" w:w="190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Videos ES y EN</w:t>
            </w:r>
          </w:p>
        </w:tc>
        <w:tc>
          <w:tcPr>
            <w:tcW w:type="dxa" w:w="1760"/>
            <w:tcBorders>
              <w:top w:val="single" w:color="C9C6DD" w:sz="4"/>
              <w:left w:val="single" w:color="C9C6DD" w:sz="4"/>
              <w:bottom w:val="single" w:color="C9C6DD" w:sz="4"/>
              <w:right w:val="single" w:color="C9C6DD" w:sz="4"/>
            </w:tcBorders>
            <w:tcMar>
              <w:top w:type="dxa" w:w="60"/>
              <w:left w:type="dxa" w:w="90"/>
              <w:bottom w:type="dxa" w:w="60"/>
              <w:right w:type="dxa" w:w="90"/>
            </w:tcMar>
          </w:tcPr>
          <w:p>
            <w:r>
              <w:rPr>
                <w:b w:val="false"/>
                <w:bCs w:val="false"/>
                <w:sz w:val="19"/>
                <w:szCs w:val="19"/>
              </w:rPr>
              <w:t xml:space="preserve">Autor aprobó la muestra; pendiente escucha completa</w:t>
            </w:r>
          </w:p>
        </w:tc>
      </w:tr>
    </w:tbl>
    <w:p>
      <w:pPr>
        <w:pStyle w:val="Heading1"/>
        <w:spacing w:after="120" w:before="280"/>
      </w:pPr>
      <w:r>
        <w:t xml:space="preserve">4. Versiones</w:t>
      </w:r>
    </w:p>
    <w:p>
      <w:pPr>
        <w:pStyle w:val="ListParagraph"/>
        <w:numPr>
          <w:ilvl w:val="0"/>
          <w:numId w:val="2"/>
        </w:numPr>
        <w:spacing w:after="80" w:line="290"/>
      </w:pPr>
      <w:r>
        <w:rPr>
          <w:b/>
          <w:bCs/>
        </w:rPr>
        <w:t xml:space="preserve">Sitio: </w:t>
      </w:r>
      <w:r>
        <w:t xml:space="preserve">artefacto claude.ai/artifact/HtAaBUVm6Jyhrco22LPEc9, versión 14 (id 1791668989-7db0); datos del sílabo 2026-10-10a.</w:t>
      </w:r>
    </w:p>
    <w:p>
      <w:pPr>
        <w:pStyle w:val="ListParagraph"/>
        <w:numPr>
          <w:ilvl w:val="0"/>
          <w:numId w:val="2"/>
        </w:numPr>
        <w:spacing w:after="80" w:line="290"/>
      </w:pPr>
      <w:r>
        <w:rPr>
          <w:b/>
          <w:bCs/>
        </w:rPr>
        <w:t xml:space="preserve">Lección: </w:t>
      </w:r>
      <w:r>
        <w:t xml:space="preserve">habilidades-comunicativas-es y habilidades-comunicativas-en, versión 1; paquetes SCORM con huella SHA-256 41355aa3492c (ES) y acb404f47dc2 (EN).</w:t>
      </w:r>
    </w:p>
    <w:p>
      <w:pPr>
        <w:pStyle w:val="ListParagraph"/>
        <w:numPr>
          <w:ilvl w:val="0"/>
          <w:numId w:val="2"/>
        </w:numPr>
        <w:spacing w:after="80" w:line="290"/>
      </w:pPr>
      <w:r>
        <w:rPr>
          <w:b/>
          <w:bCs/>
        </w:rPr>
        <w:t xml:space="preserve">Presentaciones: </w:t>
      </w:r>
      <w:r>
        <w:t xml:space="preserve">VC-2026-021_ProyectoFinal_ES.pptx (bc117db2de0a) y VC-2026-021_ProyectoFinal_EN.pptx (a52b957e83fa), con la corrección de la diapositiva 6.</w:t>
      </w:r>
    </w:p>
    <w:p>
      <w:pPr>
        <w:pStyle w:val="ListParagraph"/>
        <w:numPr>
          <w:ilvl w:val="0"/>
          <w:numId w:val="2"/>
        </w:numPr>
        <w:spacing w:after="80" w:line="290"/>
      </w:pPr>
      <w:r>
        <w:rPr>
          <w:b/>
          <w:bCs/>
        </w:rPr>
        <w:t xml:space="preserve">Videos: </w:t>
      </w:r>
      <w:r>
        <w:t xml:space="preserve">VC-2026-021_ProyectoFinal_ES.mp4 (0808bb422f4e, 4:58) y VC-2026-021_ProyectoFinal_EN.mp4 (5d52cde84c59, 4:40).</w:t>
      </w:r>
    </w:p>
    <w:p>
      <w:pPr>
        <w:pStyle w:val="ListParagraph"/>
        <w:numPr>
          <w:ilvl w:val="0"/>
          <w:numId w:val="2"/>
        </w:numPr>
        <w:spacing w:after="80" w:line="290"/>
      </w:pPr>
      <w:r>
        <w:rPr>
          <w:b/>
          <w:bCs/>
        </w:rPr>
        <w:t xml:space="preserve">Audios: </w:t>
      </w:r>
      <w:r>
        <w:t xml:space="preserve">lienzo de ElevenLabs «Proyecto final VC-2026-021 · Narración ES/EN», voz Sebastian Brand, modelo eleven_multilingual_v2.</w:t>
      </w:r>
    </w:p>
    <w:p>
      <w:pPr>
        <w:pStyle w:val="ListParagraph"/>
        <w:numPr>
          <w:ilvl w:val="0"/>
          <w:numId w:val="2"/>
        </w:numPr>
        <w:spacing w:after="80" w:line="290"/>
      </w:pPr>
      <w:r>
        <w:rPr>
          <w:b/>
          <w:bCs/>
        </w:rPr>
        <w:t xml:space="preserve">Herramientas: </w:t>
      </w:r>
      <w:r>
        <w:t xml:space="preserve">skills a2-leccion-narrada, a2-guia-voz-recorrido, a2-narracion-elevenlabs (auditor) y cedia-proyecto-final.</w:t>
      </w:r>
    </w:p>
    <w:p>
      <w:pPr>
        <w:pStyle w:val="Heading1"/>
        <w:spacing w:after="120" w:before="280"/>
      </w:pPr>
      <w:r>
        <w:t xml:space="preserve">5. Alcance y declaración de uso de IA</w:t>
      </w:r>
    </w:p>
    <w:p>
      <w:pPr>
        <w:spacing w:after="120" w:line="300"/>
      </w:pPr>
      <w:r>
        <w:t xml:space="preserve">Las pruebas permiten afirmar que el sitio, la lección y la guía funcionan en un navegador Chromium de escritorio y en un ancho de teléfono simulado, y que los guiones cumplen las reglas de narración del curso. No permiten afirmar nada sobre el aprendizaje de los estudiantes, sobre la accesibilidad con personas usuarias reales ni sobre el comportamiento de los paquetes en el Moodle de la UTE, porque nada de eso se probó todavía. Esta nota no promete validez, publicación ni reproducibilidad más allá de lo registrado aquí.</w:t>
      </w:r>
    </w:p>
    <w:p>
      <w:pPr>
        <w:spacing w:after="120" w:line="300"/>
      </w:pPr>
      <w:r>
        <w:t xml:space="preserve">Declaración de uso de IA: Claude (Anthropic) redactó los guiones y su traducción, reconstruyó las diapositivas y escribió el código del sitio, de la lección y de los videos. ElevenLabs generó la voz de los videos y Piper la voz provisional de la lección. El autor definió el encargo, tomó las decisiones de contenido señaladas en la sección 3 y es responsable de lo que se publica.</w:t>
      </w:r>
    </w:p>
    <w:p>
      <w:pPr>
        <w:pStyle w:val="Heading1"/>
        <w:spacing w:after="120" w:before="280"/>
      </w:pPr>
      <w:r>
        <w:t xml:space="preserve">6. Plan de mantenimiento</w:t>
      </w:r>
    </w:p>
    <w:p>
      <w:pPr>
        <w:pStyle w:val="ListParagraph"/>
        <w:numPr>
          <w:ilvl w:val="0"/>
          <w:numId w:val="2"/>
        </w:numPr>
        <w:spacing w:after="80" w:line="290"/>
      </w:pPr>
      <w:r>
        <w:rPr>
          <w:b/>
          <w:bCs/>
        </w:rPr>
        <w:t xml:space="preserve">Rol responsable: </w:t>
      </w:r>
      <w:r>
        <w:t xml:space="preserve">docente autor de la asignatura. Pendiente: nombre de la persona de la UTE que comparte el rol.</w:t>
      </w:r>
    </w:p>
    <w:p>
      <w:pPr>
        <w:pStyle w:val="ListParagraph"/>
        <w:numPr>
          <w:ilvl w:val="0"/>
          <w:numId w:val="2"/>
        </w:numPr>
        <w:spacing w:after="80" w:line="290"/>
      </w:pPr>
      <w:r>
        <w:rPr>
          <w:b/>
          <w:bCs/>
        </w:rPr>
        <w:t xml:space="preserve">Cambios que activan una revisión: </w:t>
      </w:r>
      <w:r>
        <w:t xml:space="preserve">un cambio en el sílabo o en las fechas; un cambio en las diapositivas o en la narración (subir la versión, regenerar subtítulos y anclas y volver a ejecutar revisar_recorrido.py); una actualización del Aula Virtual; un reporte de error de un estudiante.</w:t>
      </w:r>
    </w:p>
    <w:p>
      <w:pPr>
        <w:pStyle w:val="ListParagraph"/>
        <w:numPr>
          <w:ilvl w:val="0"/>
          <w:numId w:val="2"/>
        </w:numPr>
        <w:spacing w:after="80" w:line="290"/>
      </w:pPr>
      <w:r>
        <w:rPr>
          <w:b/>
          <w:bCs/>
        </w:rPr>
        <w:t xml:space="preserve">Si algo falla: </w:t>
      </w:r>
      <w:r>
        <w:t xml:space="preserve">detener el uso del resultado afectado ocultando el enlace o el paquete en el Aula Virtual; conservar la evidencia (captura, versión y navegador); revisar con las pruebas de la sección 2; decidir si se corrige o se retira, y registrar la decisión en una nueva versión de esta nota.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color w:val="2B237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metodológica VC-2026-021</dc:title>
  <dc:creator>Juan Pablo Arrobo</dc:creator>
  <cp:lastModifiedBy>Un-named</cp:lastModifiedBy>
  <cp:revision>1</cp:revision>
  <dcterms:created xsi:type="dcterms:W3CDTF">2026-10-10T23:08:04.082Z</dcterms:created>
  <dcterms:modified xsi:type="dcterms:W3CDTF">2026-10-10T23:08:04.089Z</dcterms:modified>
</cp:coreProperties>
</file>

<file path=docProps/custom.xml><?xml version="1.0" encoding="utf-8"?>
<Properties xmlns="http://schemas.openxmlformats.org/officeDocument/2006/custom-properties" xmlns:vt="http://schemas.openxmlformats.org/officeDocument/2006/docPropsVTypes"/>
</file>