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442"/>
        <w:gridCol w:w="2512"/>
        <w:gridCol w:w="283"/>
        <w:gridCol w:w="1907"/>
        <w:gridCol w:w="2872"/>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0804F7CC" w:rsidR="00240C0B" w:rsidRPr="00D52630" w:rsidRDefault="00A3771E" w:rsidP="00240C0B">
            <w:pPr>
              <w:rPr>
                <w:rFonts w:ascii="Avenir Book" w:hAnsi="Avenir Book"/>
              </w:rPr>
            </w:pPr>
            <w:r w:rsidRPr="00D52630">
              <w:rPr>
                <w:rFonts w:ascii="Avenir Book" w:hAnsi="Avenir Book"/>
              </w:rPr>
              <w:t>{{</w:t>
            </w:r>
            <w:r>
              <w:rPr>
                <w:rFonts w:ascii="Avenir Book" w:hAnsi="Avenir Book"/>
              </w:rPr>
              <w:t>porcentaje</w:t>
            </w:r>
            <w:r w:rsidRPr="00D52630">
              <w:rPr>
                <w:rFonts w:ascii="Avenir Book" w:hAnsi="Avenir Book"/>
              </w:rPr>
              <w:t>_de_realizados}}</w:t>
            </w:r>
            <w:r>
              <w:rPr>
                <w:rFonts w:ascii="Avenir Book" w:hAnsi="Avenir Book"/>
              </w:rPr>
              <w:t>%</w:t>
            </w: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5115B0BA" w14:textId="77777777"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p w14:paraId="03CD565E" w14:textId="77777777" w:rsidR="00452CAB" w:rsidRDefault="00452CAB" w:rsidP="00F768DB">
            <w:pPr>
              <w:tabs>
                <w:tab w:val="left" w:pos="952"/>
              </w:tabs>
              <w:jc w:val="both"/>
              <w:rPr>
                <w:rFonts w:ascii="Avenir Light" w:hAnsi="Avenir Light" w:cs="Times New Roman"/>
              </w:rPr>
            </w:pPr>
          </w:p>
          <w:p w14:paraId="2E777F43" w14:textId="77777777" w:rsidR="00452CAB" w:rsidRDefault="00452CAB" w:rsidP="00F768DB">
            <w:pPr>
              <w:tabs>
                <w:tab w:val="left" w:pos="952"/>
              </w:tabs>
              <w:jc w:val="both"/>
              <w:rPr>
                <w:rFonts w:ascii="Avenir Light" w:hAnsi="Avenir Light" w:cs="Times New Roman"/>
              </w:rPr>
            </w:pPr>
          </w:p>
          <w:p w14:paraId="4A9666A1" w14:textId="4038F2C3" w:rsidR="00452CAB" w:rsidRPr="00452CAB" w:rsidRDefault="00452CAB" w:rsidP="00F768DB">
            <w:pPr>
              <w:tabs>
                <w:tab w:val="left" w:pos="952"/>
              </w:tabs>
              <w:jc w:val="both"/>
              <w:rPr>
                <w:rFonts w:ascii="Avenir Light" w:hAnsi="Avenir Light" w:cs="Times New Roman"/>
                <w:lang w:val="es-ES"/>
              </w:rPr>
            </w:pPr>
            <w:r>
              <w:rPr>
                <w:rFonts w:ascii="Avenir Light" w:hAnsi="Avenir Light" w:cs="Times New Roman"/>
                <w:lang w:val="es-ES"/>
              </w:rPr>
              <w:t>S</w:t>
            </w:r>
            <w:r w:rsidRPr="00F24576">
              <w:rPr>
                <w:rFonts w:ascii="Avenir Light" w:hAnsi="Avenir Light" w:cs="Times New Roman"/>
                <w:lang w:val="es-ES"/>
              </w:rPr>
              <w:t>e llevaron a cabo los cuatro tipos de controles establecidos dentro del programa institucional, manteniendo una periodicidad mensual conforme al cronograma preventivo. Estas acciones incluyeron:</w:t>
            </w:r>
          </w:p>
          <w:p w14:paraId="06EC057C" w14:textId="4E639885"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 xml:space="preserve">Rondas preventivas mensuales en las áreas asistenciales y administrativas de </w:t>
            </w:r>
            <w:r w:rsidR="00682841">
              <w:rPr>
                <w:rFonts w:ascii="Avenir Light" w:hAnsi="Avenir Light" w:cs="Times New Roman"/>
                <w:lang w:val="es-ES"/>
              </w:rPr>
              <w:t>{{</w:t>
            </w:r>
            <w:r w:rsidR="009333AB">
              <w:rPr>
                <w:rFonts w:ascii="Avenir Light" w:hAnsi="Avenir Light" w:cs="Times New Roman"/>
                <w:lang w:val="es-ES"/>
              </w:rPr>
              <w:t>numero_de_bloques</w:t>
            </w:r>
            <w:r w:rsidR="00682841">
              <w:rPr>
                <w:rFonts w:ascii="Avenir Light" w:hAnsi="Avenir Light" w:cs="Times New Roman"/>
                <w:lang w:val="es-ES"/>
              </w:rPr>
              <w:t xml:space="preserve">}} </w:t>
            </w:r>
            <w:r w:rsidRPr="00452CAB">
              <w:rPr>
                <w:rFonts w:ascii="Avenir Light" w:hAnsi="Avenir Light" w:cs="Times New Roman"/>
                <w:lang w:val="es-ES"/>
              </w:rPr>
              <w:t>que conforman la institución, con el objetivo de reducir la presencia de insectos rastreros, voladores y roedores de menor importancia sanitaria.</w:t>
            </w:r>
          </w:p>
          <w:p w14:paraId="279B151B"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Inspección y mantenimiento de las estaciones de control de roedores y de las luminarias atrayentes para el control de insectos voladores.</w:t>
            </w:r>
          </w:p>
          <w:p w14:paraId="038562FC"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Limpieza y mantenimiento preventivo en áreas verdes, espacios comunes, sumideros y sistemas de alcantarillado, en articulación con el área de mantenimiento institucional.</w:t>
            </w:r>
          </w:p>
          <w:p w14:paraId="5700EF41" w14:textId="30964582"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Atención oportuna de novedades y mantenimientos correctivos reportados mediante el formato oficial o a través del grupo de WhatsApp institucional, canal que ha permitido una respuesta inmediata a los reportes diarios.</w:t>
            </w:r>
          </w:p>
          <w:p w14:paraId="1E339295" w14:textId="0FF55908"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Las acciones preventivas y correctivas aplicadas han contribuido a mantener las condiciones sanitarias dentro de los parámetros exigidos para una institución de alta complejidad, con cobertura integral en todos los frentes del programa:</w:t>
            </w:r>
          </w:p>
          <w:p w14:paraId="3B8B1D38"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rastreros</w:t>
            </w:r>
          </w:p>
          <w:p w14:paraId="62ECC4EF"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voladores</w:t>
            </w:r>
          </w:p>
          <w:p w14:paraId="304BEBA1"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Roedores</w:t>
            </w:r>
          </w:p>
          <w:p w14:paraId="6B9B3B0E"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Vectores asociados al dengue</w:t>
            </w:r>
          </w:p>
          <w:p w14:paraId="3D357170"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Zonas comunes y áreas perimetrales</w:t>
            </w:r>
          </w:p>
          <w:p w14:paraId="464D9800" w14:textId="77777777" w:rsidR="00452CAB" w:rsidRPr="00452CAB" w:rsidRDefault="00452CAB" w:rsidP="00452CAB">
            <w:pPr>
              <w:pStyle w:val="ListParagraph"/>
              <w:tabs>
                <w:tab w:val="left" w:pos="952"/>
              </w:tabs>
              <w:jc w:val="both"/>
              <w:rPr>
                <w:rFonts w:ascii="Avenir Light" w:hAnsi="Avenir Light" w:cs="Times New Roman"/>
                <w:lang w:val="es-ES"/>
              </w:rPr>
            </w:pPr>
          </w:p>
          <w:p w14:paraId="29CD0853" w14:textId="77777777"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Cabe resaltar que la institución continúa fortaleciendo la implementación de barreras físicas y mejoras locativas, derivadas de los hallazgos de campo reportados en las inspecciones diarias, lo que garantiza la continuidad de las medidas de prevención y control dentro de los estándares sanitarios requeridos.</w:t>
            </w:r>
          </w:p>
          <w:p w14:paraId="39C52734" w14:textId="77777777" w:rsidR="00452CAB" w:rsidRPr="00452CAB" w:rsidRDefault="00452CAB" w:rsidP="00452CAB">
            <w:pPr>
              <w:tabs>
                <w:tab w:val="left" w:pos="952"/>
              </w:tabs>
              <w:jc w:val="both"/>
              <w:rPr>
                <w:rFonts w:ascii="Avenir Light" w:hAnsi="Avenir Light" w:cs="Times New Roman"/>
                <w:lang w:val="es-ES"/>
              </w:rPr>
            </w:pPr>
          </w:p>
          <w:p w14:paraId="5B7DC191" w14:textId="0CBB514D"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 xml:space="preserve">Este es el análisis del mes de </w:t>
            </w:r>
            <w:r w:rsidRPr="00452CAB">
              <w:rPr>
                <w:rFonts w:ascii="Avenir Light" w:hAnsi="Avenir Light" w:cs="Times New Roman"/>
                <w:b/>
                <w:bCs/>
                <w:lang w:val="es-ES"/>
              </w:rPr>
              <w:t>{{</w:t>
            </w:r>
            <w:r w:rsidRPr="00452CAB">
              <w:rPr>
                <w:rFonts w:ascii="Avenir Book" w:hAnsi="Avenir Book"/>
                <w:b/>
                <w:bCs/>
              </w:rPr>
              <w:t>mes_de_analisis}}</w:t>
            </w:r>
            <w:r w:rsidRPr="00452CAB">
              <w:rPr>
                <w:rFonts w:ascii="Avenir Light" w:hAnsi="Avenir Light" w:cs="Times New Roman"/>
                <w:b/>
                <w:lang w:val="es-ES"/>
              </w:rPr>
              <w:t xml:space="preserve">. </w:t>
            </w:r>
            <w:r w:rsidRPr="00452CAB">
              <w:rPr>
                <w:rFonts w:ascii="Avenir Light" w:hAnsi="Avenir Light" w:cs="Times New Roman"/>
                <w:lang w:val="es-ES"/>
              </w:rPr>
              <w:t>Con este informe analiza el nuevo ciclo de gestión (septiembre 2025 – agosto 2026), reafirmando el compromiso institucional con la prevención, la vigilancia continua y la mejora permanente del programa de control de plagas. A continuación, se presentan los aspectos más destacados y los principales hallazgos obtenidos durante el transcurso de este mes.</w:t>
            </w:r>
          </w:p>
          <w:p w14:paraId="0277C30D" w14:textId="77777777" w:rsidR="00452CAB" w:rsidRPr="00452CAB" w:rsidRDefault="00452CAB" w:rsidP="00452CAB">
            <w:pPr>
              <w:tabs>
                <w:tab w:val="left" w:pos="952"/>
              </w:tabs>
              <w:jc w:val="both"/>
              <w:rPr>
                <w:rFonts w:ascii="Avenir Light" w:hAnsi="Avenir Light" w:cs="Times New Roman"/>
                <w:lang w:val="es-ES"/>
              </w:rPr>
            </w:pPr>
          </w:p>
          <w:p w14:paraId="748A9BFB" w14:textId="4782885D" w:rsidR="00452CAB" w:rsidRDefault="00452CAB" w:rsidP="00452CAB">
            <w:pPr>
              <w:tabs>
                <w:tab w:val="left" w:pos="952"/>
              </w:tabs>
              <w:jc w:val="both"/>
              <w:rPr>
                <w:rFonts w:ascii="Avenir Light" w:hAnsi="Avenir Light" w:cs="Times New Roman"/>
              </w:rPr>
            </w:pPr>
            <w:r w:rsidRPr="00452CAB">
              <w:rPr>
                <w:rFonts w:ascii="Avenir Light" w:hAnsi="Avenir Light" w:cs="Times New Roman"/>
                <w:lang w:val="es-ES"/>
              </w:rPr>
              <w:t>NOTA 1*: Se adjuntan a este informe, todos los formatos de consolidados, novedades por área de aplicación, recomendaciones de correctivos y mantenimientos y análisis por área controlada.</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Pr="00452CAB" w:rsidRDefault="00F768DB" w:rsidP="00175E22">
      <w:pPr>
        <w:rPr>
          <w:b/>
          <w:bCs/>
        </w:rPr>
      </w:pPr>
      <w:r w:rsidRPr="00452CAB">
        <w:rPr>
          <w:rFonts w:ascii="Avenir Light" w:hAnsi="Avenir Light" w:cs="Times New Roman"/>
          <w:b/>
          <w:bCs/>
          <w:sz w:val="24"/>
        </w:rPr>
        <w:t>Tabla de Contenido</w:t>
      </w:r>
    </w:p>
    <w:p w14:paraId="55B3EA14"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insectos rastreros. PREVENTIVOS</w:t>
      </w:r>
    </w:p>
    <w:p w14:paraId="7227D256" w14:textId="6F02FB04"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roedores. CAJAS</w:t>
      </w:r>
    </w:p>
    <w:p w14:paraId="7CBD1B9C"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lastRenderedPageBreak/>
        <w:t>Registro control de insectos voladores. Consolidado mensual y tendencia. LAMPARAS</w:t>
      </w:r>
    </w:p>
    <w:p w14:paraId="7DD91EF0"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órdenes de mantenimiento y seguimiento. CORRECTIVOS</w:t>
      </w:r>
    </w:p>
    <w:p w14:paraId="0D84D35A"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Control Mensual al hospital Infantil. PLAN DE CHOQUE</w:t>
      </w:r>
    </w:p>
    <w:p w14:paraId="3BACE868"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 Zonas comunes (Desnidado, motomochila, zonas verdes, cajas de aguas negras…)</w:t>
      </w:r>
    </w:p>
    <w:p w14:paraId="735CA6E9"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Dengue</w:t>
      </w:r>
    </w:p>
    <w:p w14:paraId="447C1D46"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Fotográfico</w:t>
      </w:r>
    </w:p>
    <w:p w14:paraId="687BDE2B"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Recomendaciones específicas</w:t>
      </w:r>
    </w:p>
    <w:p w14:paraId="3ADEE6EC" w14:textId="622FD1C6" w:rsidR="00F768DB" w:rsidRPr="00452CAB" w:rsidRDefault="00F768DB" w:rsidP="00F768DB">
      <w:pPr>
        <w:pStyle w:val="ListParagraph"/>
        <w:numPr>
          <w:ilvl w:val="0"/>
          <w:numId w:val="4"/>
        </w:numPr>
        <w:rPr>
          <w:rFonts w:ascii="Avenir Light" w:hAnsi="Avenir Light" w:cs="Times New Roman"/>
          <w:b/>
          <w:bCs/>
          <w:sz w:val="24"/>
          <w:lang w:val="es-ES"/>
        </w:rPr>
      </w:pPr>
      <w:r w:rsidRPr="00452CAB">
        <w:rPr>
          <w:rFonts w:ascii="Avenir Light" w:hAnsi="Avenir Light" w:cs="Times New Roman"/>
          <w:b/>
          <w:bCs/>
          <w:sz w:val="24"/>
          <w:lang w:val="es-ES"/>
        </w:rPr>
        <w:t>Recomendaciones generales</w:t>
      </w:r>
    </w:p>
    <w:p w14:paraId="5B8833C8" w14:textId="77777777" w:rsidR="00937984" w:rsidRPr="00452CAB" w:rsidRDefault="00937984" w:rsidP="00452CAB">
      <w:pPr>
        <w:rPr>
          <w:b/>
          <w:bCs/>
          <w:sz w:val="24"/>
          <w:szCs w:val="24"/>
        </w:rPr>
      </w:pPr>
    </w:p>
    <w:p w14:paraId="03B55529" w14:textId="06FC3552" w:rsidR="00422DA3" w:rsidRPr="00452CAB" w:rsidRDefault="00452CAB" w:rsidP="008074F7">
      <w:pPr>
        <w:rPr>
          <w:sz w:val="24"/>
          <w:szCs w:val="24"/>
        </w:rPr>
      </w:pPr>
      <w:r w:rsidRPr="00452CAB">
        <w:rPr>
          <w:b/>
          <w:bCs/>
          <w:sz w:val="24"/>
          <w:szCs w:val="24"/>
        </w:rPr>
        <w:t xml:space="preserve">1. </w:t>
      </w:r>
      <w:r w:rsidR="00F768DB" w:rsidRPr="00452CAB">
        <w:rPr>
          <w:b/>
          <w:bCs/>
          <w:sz w:val="24"/>
          <w:szCs w:val="24"/>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El siguiente gráfico muestra la evolución temporal del total de plagas eliminadas en órdenes preventivas. Las barras representan el volumen total mensual de todas las especies combinadas, mientras que la línea negra conecta los puntos de datos creando una trayectoria clara de la tendencia a lo largo del tiempo.</w:t>
      </w:r>
    </w:p>
    <w:p w14:paraId="3AB9211D" w14:textId="58E5D532" w:rsidR="00BC581C" w:rsidRDefault="00BC581C" w:rsidP="000E2A0E">
      <w:pPr>
        <w:jc w:val="both"/>
      </w:pPr>
      <w:r>
        <w:t>{{preventivos_3_plot}}</w:t>
      </w:r>
    </w:p>
    <w:p w14:paraId="6B3820C3" w14:textId="5646F1AB" w:rsidR="00BC581C" w:rsidRDefault="00BC581C" w:rsidP="00BC581C">
      <w:r>
        <w:t>{{preventivos_3_tabla}}</w:t>
      </w:r>
    </w:p>
    <w:p w14:paraId="09E64498" w14:textId="77777777" w:rsidR="00FB313B" w:rsidRDefault="00FB313B" w:rsidP="00FB313B">
      <w:pPr>
        <w:pBdr>
          <w:bottom w:val="single" w:sz="6" w:space="1" w:color="auto"/>
        </w:pBdr>
      </w:pPr>
    </w:p>
    <w:p w14:paraId="4982E388" w14:textId="6B13E6B1" w:rsidR="003B11E8" w:rsidRPr="00452CAB" w:rsidRDefault="00452CAB" w:rsidP="003B11E8">
      <w:pPr>
        <w:rPr>
          <w:sz w:val="24"/>
          <w:szCs w:val="24"/>
        </w:rPr>
      </w:pPr>
      <w:r w:rsidRPr="00452CAB">
        <w:rPr>
          <w:b/>
          <w:bCs/>
          <w:sz w:val="24"/>
          <w:szCs w:val="24"/>
        </w:rPr>
        <w:lastRenderedPageBreak/>
        <w:t xml:space="preserve">2. </w:t>
      </w:r>
      <w:r w:rsidR="00422DA3" w:rsidRPr="00452CAB">
        <w:rPr>
          <w:b/>
          <w:bCs/>
          <w:sz w:val="24"/>
          <w:szCs w:val="24"/>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422EFE10" w14:textId="5F37CFB5" w:rsidR="00687DE0" w:rsidRPr="008F4546" w:rsidRDefault="003B11E8" w:rsidP="006D058D">
      <w:pPr>
        <w:rPr>
          <w:rFonts w:ascii="Avenir Book" w:hAnsi="Avenir Book"/>
        </w:rPr>
      </w:pPr>
      <w:r w:rsidRPr="008F4546">
        <w:rPr>
          <w:rFonts w:ascii="Avenir Book" w:hAnsi="Avenir Book"/>
        </w:rPr>
        <w:t>{{roedores_1_tabla}}</w:t>
      </w:r>
    </w:p>
    <w:p w14:paraId="2B3B8E86" w14:textId="183CCAEE" w:rsidR="00C95EE0" w:rsidRPr="008F4546" w:rsidRDefault="00C95EE0" w:rsidP="008F4546">
      <w:pPr>
        <w:jc w:val="both"/>
        <w:rPr>
          <w:rFonts w:ascii="Avenir Book" w:hAnsi="Avenir Book"/>
        </w:rPr>
      </w:pPr>
      <w:r w:rsidRPr="008F4546">
        <w:rPr>
          <w:rFonts w:ascii="Avenir Book" w:hAnsi="Avenir Book"/>
          <w:highlight w:val="yellow"/>
        </w:rPr>
        <w:t>{{analisis_roedores}}</w:t>
      </w:r>
    </w:p>
    <w:p w14:paraId="34CCFDD2" w14:textId="4D8EA762" w:rsidR="003657CA" w:rsidRDefault="003657CA" w:rsidP="003657CA">
      <w:pPr>
        <w:jc w:val="both"/>
        <w:rPr>
          <w:rFonts w:ascii="Avenir Book" w:hAnsi="Avenir Book"/>
        </w:rPr>
      </w:pPr>
      <w:r w:rsidRPr="008F4546">
        <w:rPr>
          <w:rFonts w:ascii="Avenir Book" w:hAnsi="Avenir Book"/>
        </w:rPr>
        <w:t xml:space="preserve">El siguiente gráfico muestra la evolución temporal de la eliminación de roedores </w:t>
      </w:r>
      <w:r w:rsidRPr="008F4546">
        <w:rPr>
          <w:rFonts w:ascii="Avenir Book" w:hAnsi="Avenir Book"/>
          <w:b/>
          <w:bCs/>
        </w:rPr>
        <w:t>basada en el consumo de cebo</w:t>
      </w:r>
      <w:r w:rsidRPr="008F4546">
        <w:rPr>
          <w:rFonts w:ascii="Avenir Book" w:hAnsi="Avenir Book"/>
        </w:rPr>
        <w:t>. La línea negra conecta</w:t>
      </w:r>
      <w:r w:rsidRPr="003657CA">
        <w:rPr>
          <w:rFonts w:ascii="Avenir Book" w:hAnsi="Avenir Book"/>
        </w:rPr>
        <w:t xml:space="preserve">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t>{{roedores_2_tabla}}</w:t>
      </w:r>
    </w:p>
    <w:p w14:paraId="2AEB7F08" w14:textId="77777777" w:rsidR="003B11E8" w:rsidRDefault="003B11E8" w:rsidP="003B11E8">
      <w:pPr>
        <w:pBdr>
          <w:bottom w:val="single" w:sz="6" w:space="1" w:color="auto"/>
        </w:pBdr>
      </w:pPr>
    </w:p>
    <w:p w14:paraId="06D4BFA5" w14:textId="5ACC2E2A" w:rsidR="00175E22" w:rsidRPr="00452CAB" w:rsidRDefault="00452CAB" w:rsidP="00175E22">
      <w:pPr>
        <w:rPr>
          <w:b/>
          <w:bCs/>
          <w:sz w:val="24"/>
          <w:szCs w:val="24"/>
        </w:rPr>
      </w:pPr>
      <w:r w:rsidRPr="00452CAB">
        <w:rPr>
          <w:b/>
          <w:bCs/>
          <w:sz w:val="24"/>
          <w:szCs w:val="24"/>
        </w:rPr>
        <w:t xml:space="preserve">3. </w:t>
      </w:r>
      <w:r w:rsidR="00175E22" w:rsidRPr="00452CAB">
        <w:rPr>
          <w:b/>
          <w:bCs/>
          <w:sz w:val="24"/>
          <w:szCs w:val="24"/>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068EACF8" w14:textId="4D6AD7A7" w:rsidR="003B11E8" w:rsidRDefault="003657CA" w:rsidP="003657CA">
      <w:pPr>
        <w:jc w:val="both"/>
      </w:pPr>
      <w:r w:rsidRPr="003657CA">
        <w:rPr>
          <w:rFonts w:ascii="Avenir Book" w:hAnsi="Avenir Book"/>
        </w:rPr>
        <w:t xml:space="preserve">El siguiente gráfico presenta una visualización de dispersión con burbujas que muestra el estado de las lámparas por área en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lastRenderedPageBreak/>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70F7829F" w:rsidR="004A64FA" w:rsidRPr="00452CAB" w:rsidRDefault="00452CAB" w:rsidP="004A64FA">
      <w:pPr>
        <w:rPr>
          <w:b/>
          <w:bCs/>
          <w:sz w:val="24"/>
          <w:szCs w:val="24"/>
        </w:rPr>
      </w:pPr>
      <w:r w:rsidRPr="00452CAB">
        <w:rPr>
          <w:b/>
          <w:bCs/>
          <w:sz w:val="24"/>
          <w:szCs w:val="24"/>
        </w:rPr>
        <w:t xml:space="preserve">4. </w:t>
      </w:r>
      <w:r w:rsidR="004A64FA" w:rsidRPr="00452CAB">
        <w:rPr>
          <w:b/>
          <w:bCs/>
          <w:sz w:val="24"/>
          <w:szCs w:val="24"/>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15813676"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 Las órdenes sin evidencia de plagas se excluyen del gráfico para concentrar el análisis únicamente en situaciones que requieren intervención.</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lastRenderedPageBreak/>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77777777" w:rsidR="007A6B4E" w:rsidRDefault="007A6B4E" w:rsidP="00391116"/>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y una línea de 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05F803FE" w14:textId="77777777" w:rsidR="00452CAB" w:rsidRDefault="00452CAB" w:rsidP="00DE5E2C"/>
    <w:p w14:paraId="70456C1D" w14:textId="1055D73F" w:rsidR="00452CAB" w:rsidRPr="00452CAB" w:rsidRDefault="00452CAB" w:rsidP="00452CAB">
      <w:pPr>
        <w:rPr>
          <w:b/>
          <w:bCs/>
          <w:sz w:val="24"/>
          <w:szCs w:val="24"/>
        </w:rPr>
      </w:pPr>
      <w:r w:rsidRPr="00452CAB">
        <w:rPr>
          <w:b/>
          <w:bCs/>
          <w:sz w:val="24"/>
          <w:szCs w:val="24"/>
        </w:rPr>
        <w:t>5. Control Mensual al hospital Infantil. PLAN DE CHOQUE</w:t>
      </w:r>
    </w:p>
    <w:p w14:paraId="11C436FB" w14:textId="77777777" w:rsidR="00452CAB" w:rsidRPr="00452CAB" w:rsidRDefault="00452CAB" w:rsidP="00452CAB">
      <w:pPr>
        <w:rPr>
          <w:b/>
          <w:bCs/>
          <w:sz w:val="24"/>
          <w:szCs w:val="24"/>
        </w:rPr>
      </w:pPr>
    </w:p>
    <w:p w14:paraId="46BA688C" w14:textId="77777777" w:rsidR="00452CAB" w:rsidRPr="00452CAB" w:rsidRDefault="00452CAB" w:rsidP="00452CAB">
      <w:pPr>
        <w:rPr>
          <w:b/>
          <w:bCs/>
          <w:sz w:val="24"/>
          <w:szCs w:val="24"/>
        </w:rPr>
      </w:pPr>
    </w:p>
    <w:p w14:paraId="59E21AC8" w14:textId="331B9555" w:rsidR="00452CAB" w:rsidRPr="00452CAB" w:rsidRDefault="00452CAB" w:rsidP="00452CAB">
      <w:pPr>
        <w:rPr>
          <w:b/>
          <w:bCs/>
          <w:sz w:val="24"/>
          <w:szCs w:val="24"/>
        </w:rPr>
      </w:pPr>
      <w:r w:rsidRPr="00452CAB">
        <w:rPr>
          <w:b/>
          <w:bCs/>
          <w:sz w:val="24"/>
          <w:szCs w:val="24"/>
        </w:rPr>
        <w:t xml:space="preserve">6. Informe de Zonas comunes (Desnidado, motomochila, zonas verdes, cajas de aguas negras…)  </w:t>
      </w:r>
    </w:p>
    <w:p w14:paraId="396103F8" w14:textId="77777777" w:rsidR="00452CAB" w:rsidRPr="00452CAB" w:rsidRDefault="00452CAB" w:rsidP="00452CAB">
      <w:pPr>
        <w:rPr>
          <w:b/>
          <w:bCs/>
          <w:sz w:val="24"/>
          <w:szCs w:val="24"/>
        </w:rPr>
      </w:pPr>
    </w:p>
    <w:p w14:paraId="6D467774" w14:textId="56793783" w:rsidR="00452CAB" w:rsidRPr="00452CAB" w:rsidRDefault="00452CAB" w:rsidP="00452CAB">
      <w:pPr>
        <w:rPr>
          <w:b/>
          <w:bCs/>
          <w:sz w:val="24"/>
          <w:szCs w:val="24"/>
        </w:rPr>
      </w:pPr>
      <w:r w:rsidRPr="00452CAB">
        <w:rPr>
          <w:b/>
          <w:bCs/>
          <w:sz w:val="24"/>
          <w:szCs w:val="24"/>
        </w:rPr>
        <w:t>7. Informe Dengue</w:t>
      </w:r>
    </w:p>
    <w:p w14:paraId="1D922151" w14:textId="77777777" w:rsidR="003C2325" w:rsidRDefault="00452CAB" w:rsidP="003C2325">
      <w:pPr>
        <w:rPr>
          <w:b/>
          <w:bCs/>
          <w:sz w:val="24"/>
          <w:szCs w:val="24"/>
        </w:rPr>
      </w:pPr>
      <w:r w:rsidRPr="00452CAB">
        <w:rPr>
          <w:b/>
          <w:bCs/>
          <w:sz w:val="24"/>
          <w:szCs w:val="24"/>
        </w:rPr>
        <w:t>8. Registro Fotográfico</w:t>
      </w:r>
      <w:r w:rsidR="003C2325" w:rsidRPr="003C2325">
        <w:t xml:space="preserve"> </w:t>
      </w:r>
    </w:p>
    <w:p w14:paraId="5E0DE262" w14:textId="219CA35B" w:rsidR="00452CAB" w:rsidRPr="003C2325" w:rsidRDefault="003C2325" w:rsidP="00452CAB">
      <w:pPr>
        <w:rPr>
          <w:b/>
          <w:bCs/>
          <w:sz w:val="24"/>
          <w:szCs w:val="24"/>
        </w:rPr>
      </w:pPr>
      <w:r>
        <w:rPr>
          <w:b/>
          <w:bCs/>
          <w:sz w:val="24"/>
          <w:szCs w:val="24"/>
        </w:rPr>
        <w:t xml:space="preserve">9. </w:t>
      </w:r>
      <w:r w:rsidRPr="003C2325">
        <w:rPr>
          <w:b/>
          <w:bCs/>
          <w:sz w:val="24"/>
          <w:szCs w:val="24"/>
        </w:rPr>
        <w:t>Recomendaciones específicas</w:t>
      </w:r>
    </w:p>
    <w:p w14:paraId="4F404936" w14:textId="77777777" w:rsidR="00452CAB" w:rsidRDefault="00452CAB" w:rsidP="00DE5E2C"/>
    <w:p w14:paraId="43289079" w14:textId="77777777" w:rsidR="00452CAB" w:rsidRDefault="00452CAB" w:rsidP="00DE5E2C"/>
    <w:p w14:paraId="487C092D" w14:textId="77777777" w:rsidR="00DE5E2C" w:rsidRDefault="00DE5E2C" w:rsidP="004A64FA"/>
    <w:p w14:paraId="276D29EE" w14:textId="0584A3E2" w:rsidR="009E4BD6" w:rsidRPr="00452CAB" w:rsidRDefault="003C2325" w:rsidP="00F768DB">
      <w:pPr>
        <w:rPr>
          <w:b/>
          <w:bCs/>
          <w:sz w:val="24"/>
          <w:szCs w:val="24"/>
        </w:rPr>
      </w:pPr>
      <w:r>
        <w:rPr>
          <w:b/>
          <w:bCs/>
          <w:sz w:val="24"/>
          <w:szCs w:val="24"/>
        </w:rPr>
        <w:lastRenderedPageBreak/>
        <w:t>10</w:t>
      </w:r>
      <w:r w:rsidR="00452CAB" w:rsidRPr="00452CAB">
        <w:rPr>
          <w:b/>
          <w:bCs/>
          <w:sz w:val="24"/>
          <w:szCs w:val="24"/>
        </w:rPr>
        <w:t xml:space="preserve">. </w:t>
      </w:r>
      <w:r w:rsidR="00945041" w:rsidRPr="00452CAB">
        <w:rPr>
          <w:b/>
          <w:bCs/>
          <w:sz w:val="24"/>
          <w:szCs w:val="24"/>
        </w:rPr>
        <w:t>Recomendaciones</w:t>
      </w:r>
      <w:r w:rsidR="00F768DB" w:rsidRPr="00452CAB">
        <w:rPr>
          <w:b/>
          <w:bCs/>
          <w:sz w:val="24"/>
          <w:szCs w:val="24"/>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r>
              <w:fldChar w:fldCharType="begin"/>
            </w:r>
            <w:r>
              <w:instrText xml:space="preserve"> DOCVARIABLE "asesor" </w:instrText>
            </w:r>
            <w:r>
              <w:fldChar w:fldCharType="separate"/>
            </w:r>
            <w:r w:rsidRPr="00945041">
              <w:t>Fernando Q</w:t>
            </w:r>
            <w:r>
              <w:fldChar w:fldCharType="end"/>
            </w:r>
            <w:r>
              <w:t>uintero</w:t>
            </w:r>
          </w:p>
          <w:p w14:paraId="43C480FA" w14:textId="77777777" w:rsidR="00945041" w:rsidRDefault="00945041" w:rsidP="00945041">
            <w:r>
              <w:t>Coordinador de Mercadeo</w:t>
            </w:r>
          </w:p>
          <w:p w14:paraId="1C6A9777" w14:textId="6494CF29" w:rsidR="00945041" w:rsidRDefault="00945041" w:rsidP="00945041">
            <w:r w:rsidRPr="00945041">
              <w:t>Teléfonos: 3225241</w:t>
            </w:r>
          </w:p>
          <w:p w14:paraId="61255323" w14:textId="06E30727" w:rsidR="00945041" w:rsidRPr="00945041" w:rsidRDefault="00945041" w:rsidP="00945041">
            <w:r w:rsidRPr="00945041">
              <w:lastRenderedPageBreak/>
              <w:t xml:space="preserve">Celular:  </w:t>
            </w:r>
            <w:r>
              <w:fldChar w:fldCharType="begin"/>
            </w:r>
            <w:r>
              <w:instrText xml:space="preserve"> DOCVARIABLE "cel_asesor" </w:instrText>
            </w:r>
            <w:r>
              <w:fldChar w:fldCharType="separate"/>
            </w:r>
            <w:r w:rsidRPr="00945041">
              <w:t>311 622 60 19</w:t>
            </w:r>
            <w:r>
              <w:fldChar w:fldCharType="end"/>
            </w:r>
            <w:r w:rsidRPr="00945041">
              <w:t xml:space="preserve">  -   310 469 50 50                                                                             e-mail: </w:t>
            </w:r>
            <w:r>
              <w:fldChar w:fldCharType="begin"/>
            </w:r>
            <w:r>
              <w:instrText xml:space="preserve"> DOCVARIABLE "e_asesor" </w:instrText>
            </w:r>
            <w:r>
              <w:fldChar w:fldCharType="separate"/>
            </w:r>
            <w:r w:rsidRPr="00945041">
              <w:t>splagasmedellin@gmail.co</w:t>
            </w:r>
            <w:r>
              <w:fldChar w:fldCharType="end"/>
            </w:r>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lastRenderedPageBreak/>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A072D" w14:textId="77777777" w:rsidR="00153785" w:rsidRDefault="00153785" w:rsidP="00937984">
      <w:pPr>
        <w:spacing w:before="0" w:after="0" w:line="240" w:lineRule="auto"/>
      </w:pPr>
      <w:r>
        <w:separator/>
      </w:r>
    </w:p>
  </w:endnote>
  <w:endnote w:type="continuationSeparator" w:id="0">
    <w:p w14:paraId="2171C790" w14:textId="77777777" w:rsidR="00153785" w:rsidRDefault="00153785"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Roboto Mono">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panose1 w:val="02000503020000020003"/>
    <w:charset w:val="00"/>
    <w:family w:val="auto"/>
    <w:pitch w:val="variable"/>
    <w:sig w:usb0="800000AF" w:usb1="5000204A" w:usb2="00000000" w:usb3="00000000" w:csb0="0000009B" w:csb1="00000000"/>
  </w:font>
  <w:font w:name="Avenir Light">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66A6E" w14:textId="77777777" w:rsidR="00366C96" w:rsidRDefault="00366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D5A4" w14:textId="77777777" w:rsidR="00366C96" w:rsidRDefault="00366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4CB1B" w14:textId="77777777" w:rsidR="00153785" w:rsidRDefault="00153785" w:rsidP="00937984">
      <w:pPr>
        <w:spacing w:before="0" w:after="0" w:line="240" w:lineRule="auto"/>
      </w:pPr>
      <w:r>
        <w:separator/>
      </w:r>
    </w:p>
  </w:footnote>
  <w:footnote w:type="continuationSeparator" w:id="0">
    <w:p w14:paraId="4F310A5C" w14:textId="77777777" w:rsidR="00153785" w:rsidRDefault="00153785" w:rsidP="009379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A1E" w14:textId="0B9947CE" w:rsidR="00366C96" w:rsidRDefault="00153785">
    <w:pPr>
      <w:pStyle w:val="Header"/>
    </w:pPr>
    <w:r>
      <w:rPr>
        <w:noProof/>
      </w:rPr>
      <w:pict w14:anchorId="2C98A2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9" o:spid="_x0000_s1027" type="#_x0000_t75" alt="" style="position:absolute;margin-left:0;margin-top:0;width:450.65pt;height:461.85pt;z-index:-251653120;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9E6D" w14:textId="2A0183D8" w:rsidR="00366C96" w:rsidRDefault="00153785">
    <w:pPr>
      <w:pStyle w:val="Header"/>
    </w:pPr>
    <w:r>
      <w:rPr>
        <w:noProof/>
      </w:rPr>
      <w:pict w14:anchorId="42034B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20" o:spid="_x0000_s1026" type="#_x0000_t75" alt="" style="position:absolute;margin-left:0;margin-top:0;width:450.65pt;height:461.85pt;z-index:-251650048;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9D0F" w14:textId="7DE84EAB" w:rsidR="00366C96" w:rsidRDefault="00153785">
    <w:pPr>
      <w:pStyle w:val="Header"/>
    </w:pPr>
    <w:r>
      <w:rPr>
        <w:noProof/>
      </w:rPr>
      <w:pict w14:anchorId="2962F1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8" o:spid="_x0000_s1025" type="#_x0000_t75" alt="" style="position:absolute;margin-left:0;margin-top:0;width:450.65pt;height:461.85pt;z-index:-251656192;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AFC4BD7"/>
    <w:multiLevelType w:val="hybridMultilevel"/>
    <w:tmpl w:val="5D9201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573318D2"/>
    <w:multiLevelType w:val="hybridMultilevel"/>
    <w:tmpl w:val="E5BC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F296D3D"/>
    <w:multiLevelType w:val="hybridMultilevel"/>
    <w:tmpl w:val="17E4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2"/>
  </w:num>
  <w:num w:numId="3" w16cid:durableId="974795223">
    <w:abstractNumId w:val="3"/>
  </w:num>
  <w:num w:numId="4" w16cid:durableId="224727757">
    <w:abstractNumId w:val="7"/>
  </w:num>
  <w:num w:numId="5" w16cid:durableId="283122262">
    <w:abstractNumId w:val="5"/>
  </w:num>
  <w:num w:numId="6" w16cid:durableId="1706560086">
    <w:abstractNumId w:val="6"/>
  </w:num>
  <w:num w:numId="7" w16cid:durableId="2059669307">
    <w:abstractNumId w:val="4"/>
  </w:num>
  <w:num w:numId="8" w16cid:durableId="1864900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E2A0E"/>
    <w:rsid w:val="00153785"/>
    <w:rsid w:val="00174D7A"/>
    <w:rsid w:val="00175E22"/>
    <w:rsid w:val="001C04B2"/>
    <w:rsid w:val="00240C0B"/>
    <w:rsid w:val="00265134"/>
    <w:rsid w:val="003657CA"/>
    <w:rsid w:val="00366C96"/>
    <w:rsid w:val="00367913"/>
    <w:rsid w:val="00391116"/>
    <w:rsid w:val="00392CD2"/>
    <w:rsid w:val="003B11E8"/>
    <w:rsid w:val="003C2325"/>
    <w:rsid w:val="00422DA3"/>
    <w:rsid w:val="00452CAB"/>
    <w:rsid w:val="00461B49"/>
    <w:rsid w:val="0046490C"/>
    <w:rsid w:val="004A64FA"/>
    <w:rsid w:val="004A6518"/>
    <w:rsid w:val="004B57DF"/>
    <w:rsid w:val="004E3226"/>
    <w:rsid w:val="00500E83"/>
    <w:rsid w:val="00554EC8"/>
    <w:rsid w:val="005D7560"/>
    <w:rsid w:val="00631412"/>
    <w:rsid w:val="00682841"/>
    <w:rsid w:val="00687DE0"/>
    <w:rsid w:val="006C56F1"/>
    <w:rsid w:val="006D058D"/>
    <w:rsid w:val="006F2018"/>
    <w:rsid w:val="00750C53"/>
    <w:rsid w:val="007819B7"/>
    <w:rsid w:val="00796D98"/>
    <w:rsid w:val="007A6B4E"/>
    <w:rsid w:val="007D076A"/>
    <w:rsid w:val="007E60A9"/>
    <w:rsid w:val="008074F7"/>
    <w:rsid w:val="00822838"/>
    <w:rsid w:val="008F4546"/>
    <w:rsid w:val="00930E5F"/>
    <w:rsid w:val="009333AB"/>
    <w:rsid w:val="00937984"/>
    <w:rsid w:val="00945041"/>
    <w:rsid w:val="009570D5"/>
    <w:rsid w:val="00987B99"/>
    <w:rsid w:val="009A4B36"/>
    <w:rsid w:val="009E4BD6"/>
    <w:rsid w:val="00A21079"/>
    <w:rsid w:val="00A30519"/>
    <w:rsid w:val="00A3771E"/>
    <w:rsid w:val="00A736B5"/>
    <w:rsid w:val="00A9614A"/>
    <w:rsid w:val="00B82944"/>
    <w:rsid w:val="00BC581C"/>
    <w:rsid w:val="00C42F98"/>
    <w:rsid w:val="00C62396"/>
    <w:rsid w:val="00C625EA"/>
    <w:rsid w:val="00C95EE0"/>
    <w:rsid w:val="00D2757D"/>
    <w:rsid w:val="00D52630"/>
    <w:rsid w:val="00DB6E51"/>
    <w:rsid w:val="00DC4CE6"/>
    <w:rsid w:val="00DE5E2C"/>
    <w:rsid w:val="00E32A54"/>
    <w:rsid w:val="00E45636"/>
    <w:rsid w:val="00EA0E45"/>
    <w:rsid w:val="00F603F4"/>
    <w:rsid w:val="00F768DB"/>
    <w:rsid w:val="00FB31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8</Pages>
  <Words>1797</Words>
  <Characters>10248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40</cp:revision>
  <dcterms:created xsi:type="dcterms:W3CDTF">2025-10-05T21:02:00Z</dcterms:created>
  <dcterms:modified xsi:type="dcterms:W3CDTF">2026-01-23T16:28:00Z</dcterms:modified>
</cp:coreProperties>
</file>