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6142" w14:textId="77777777" w:rsidR="00242AD1" w:rsidRDefault="00000000">
      <w:pPr>
        <w:spacing w:after="200"/>
        <w:jc w:val="center"/>
      </w:pPr>
      <w:r>
        <w:rPr>
          <w:b/>
          <w:bCs/>
          <w:sz w:val="36"/>
          <w:szCs w:val="36"/>
        </w:rPr>
        <w:t>Ficha Técnica: Conocimiento del Dominio y Contexto del Proyecto</w:t>
      </w:r>
    </w:p>
    <w:p w14:paraId="1CC8ED68" w14:textId="4814DA8B" w:rsidR="00242AD1" w:rsidRDefault="00833D4B" w:rsidP="00833D4B">
      <w:pPr>
        <w:tabs>
          <w:tab w:val="left" w:pos="2535"/>
          <w:tab w:val="right" w:pos="9506"/>
        </w:tabs>
        <w:spacing w:after="280"/>
      </w:pPr>
      <w:r>
        <w:tab/>
      </w:r>
      <w:r>
        <w:tab/>
      </w:r>
      <w:r w:rsidR="00000000">
        <w:t>Río Grande, 1</w:t>
      </w:r>
      <w:r>
        <w:t>7</w:t>
      </w:r>
      <w:r w:rsidR="00000000">
        <w:t xml:space="preserve"> de mayo de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890"/>
        <w:gridCol w:w="5566"/>
      </w:tblGrid>
      <w:tr w:rsidR="00242AD1" w14:paraId="357C935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000000"/>
            <w:tcMar>
              <w:top w:w="120" w:type="dxa"/>
              <w:left w:w="140" w:type="dxa"/>
              <w:bottom w:w="120" w:type="dxa"/>
              <w:right w:w="140" w:type="dxa"/>
            </w:tcMar>
          </w:tcPr>
          <w:p w14:paraId="63486CBF" w14:textId="77777777" w:rsidR="00242AD1" w:rsidRDefault="00000000">
            <w:pPr>
              <w:jc w:val="center"/>
            </w:pPr>
            <w:r>
              <w:rPr>
                <w:b/>
                <w:bCs/>
                <w:color w:val="FFFFFF"/>
              </w:rPr>
              <w:t>SECCIÓN</w:t>
            </w:r>
          </w:p>
        </w:tc>
        <w:tc>
          <w:tcPr>
            <w:tcW w:w="1900" w:type="dxa"/>
            <w:tcBorders>
              <w:top w:val="single" w:sz="6" w:space="0" w:color="000000"/>
              <w:left w:val="single" w:sz="6" w:space="0" w:color="000000"/>
              <w:bottom w:val="single" w:sz="6" w:space="0" w:color="000000"/>
              <w:right w:val="single" w:sz="6" w:space="0" w:color="000000"/>
            </w:tcBorders>
            <w:shd w:val="clear" w:color="auto" w:fill="000000"/>
            <w:tcMar>
              <w:top w:w="120" w:type="dxa"/>
              <w:left w:w="140" w:type="dxa"/>
              <w:bottom w:w="120" w:type="dxa"/>
              <w:right w:w="140" w:type="dxa"/>
            </w:tcMar>
          </w:tcPr>
          <w:p w14:paraId="6C80BD8A" w14:textId="77777777" w:rsidR="00242AD1" w:rsidRDefault="00000000">
            <w:pPr>
              <w:jc w:val="center"/>
            </w:pPr>
            <w:r>
              <w:rPr>
                <w:b/>
                <w:bCs/>
                <w:color w:val="FFFFFF"/>
              </w:rPr>
              <w:t>CAMPO DE REGISTRO</w:t>
            </w:r>
          </w:p>
        </w:tc>
        <w:tc>
          <w:tcPr>
            <w:tcW w:w="5626" w:type="dxa"/>
            <w:tcBorders>
              <w:top w:val="single" w:sz="6" w:space="0" w:color="000000"/>
              <w:left w:val="single" w:sz="6" w:space="0" w:color="000000"/>
              <w:bottom w:val="single" w:sz="6" w:space="0" w:color="000000"/>
              <w:right w:val="single" w:sz="6" w:space="0" w:color="000000"/>
            </w:tcBorders>
            <w:shd w:val="clear" w:color="auto" w:fill="000000"/>
            <w:tcMar>
              <w:top w:w="120" w:type="dxa"/>
              <w:left w:w="140" w:type="dxa"/>
              <w:bottom w:w="120" w:type="dxa"/>
              <w:right w:w="140" w:type="dxa"/>
            </w:tcMar>
          </w:tcPr>
          <w:p w14:paraId="21F45564" w14:textId="77777777" w:rsidR="00242AD1" w:rsidRDefault="00000000">
            <w:pPr>
              <w:jc w:val="center"/>
            </w:pPr>
            <w:r>
              <w:rPr>
                <w:b/>
                <w:bCs/>
                <w:color w:val="FFFFFF"/>
              </w:rPr>
              <w:t>DESCRIPCIÓN / OBJETIVO</w:t>
            </w:r>
          </w:p>
        </w:tc>
      </w:tr>
      <w:tr w:rsidR="00242AD1" w14:paraId="1B66036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vAlign w:val="center"/>
          </w:tcPr>
          <w:p w14:paraId="072DBC1D" w14:textId="77777777" w:rsidR="00242AD1" w:rsidRDefault="00000000">
            <w:pPr>
              <w:jc w:val="center"/>
            </w:pPr>
            <w:r>
              <w:rPr>
                <w:b/>
                <w:bCs/>
              </w:rPr>
              <w:t>Identificación</w:t>
            </w:r>
          </w:p>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009664E7" w14:textId="77777777" w:rsidR="00242AD1" w:rsidRDefault="00000000">
            <w:r>
              <w:rPr>
                <w:i/>
                <w:iCs/>
              </w:rPr>
              <w:t>Nombre del Proyecto</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4A9A685" w14:textId="77777777" w:rsidR="00242AD1" w:rsidRDefault="00000000">
            <w:pPr>
              <w:spacing w:after="80"/>
            </w:pPr>
            <w:r>
              <w:t>Monitoreo epidemiológico del dengue en Argentina (2022–2025).</w:t>
            </w:r>
          </w:p>
        </w:tc>
      </w:tr>
      <w:tr w:rsidR="00242AD1" w14:paraId="6BC6423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tcPr>
          <w:p w14:paraId="339E3A0A" w14:textId="77777777" w:rsidR="00242AD1" w:rsidRDefault="00242AD1"/>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8254DC3" w14:textId="77777777" w:rsidR="00242AD1" w:rsidRDefault="00000000">
            <w:r>
              <w:rPr>
                <w:i/>
                <w:iCs/>
              </w:rPr>
              <w:t>Eje Temático</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A2515E9" w14:textId="77777777" w:rsidR="00242AD1" w:rsidRDefault="00000000">
            <w:pPr>
              <w:spacing w:after="80"/>
            </w:pPr>
            <w:r>
              <w:t>Ciencia de Datos aplicada a la Salud Pública.</w:t>
            </w:r>
          </w:p>
        </w:tc>
      </w:tr>
      <w:tr w:rsidR="00242AD1" w14:paraId="0FB72CCA"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vAlign w:val="center"/>
          </w:tcPr>
          <w:p w14:paraId="2FE634A2" w14:textId="77777777" w:rsidR="00242AD1" w:rsidRDefault="00000000">
            <w:pPr>
              <w:jc w:val="center"/>
            </w:pPr>
            <w:r>
              <w:rPr>
                <w:b/>
                <w:bCs/>
              </w:rPr>
              <w:t>Marco Teórico</w:t>
            </w:r>
          </w:p>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D7DF4CF" w14:textId="77777777" w:rsidR="00242AD1" w:rsidRDefault="00000000">
            <w:r>
              <w:rPr>
                <w:i/>
                <w:iCs/>
              </w:rPr>
              <w:t>Descripción del Fenómeno</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4256764" w14:textId="77777777" w:rsidR="00242AD1" w:rsidRDefault="00000000">
            <w:pPr>
              <w:spacing w:after="80"/>
            </w:pPr>
            <w:r>
              <w:t>El proyecto analiza la evolución temporal y territorial de los casos de dengue en Argentina entre 2022 y 2025, a partir de datos oficiales del Sistema Nacional de Vigilancia en Salud (SNVS 2.0).</w:t>
            </w:r>
          </w:p>
          <w:p w14:paraId="39FC3807" w14:textId="77777777" w:rsidR="00242AD1" w:rsidRDefault="00242AD1">
            <w:pPr>
              <w:spacing w:after="80"/>
            </w:pPr>
          </w:p>
          <w:p w14:paraId="1BFE3013" w14:textId="77777777" w:rsidR="00242AD1" w:rsidRDefault="00000000">
            <w:pPr>
              <w:spacing w:after="80"/>
            </w:pPr>
            <w:r>
              <w:t>El foco del análisis está en identificar en qué semanas epidemiológicas se concentran los brotes, construir un corredor epidemiológico de referencia histórica que permita evaluar si una temporada se comporta dentro o fuera del rango esperado, y detectar patrones de distribución territorial que puedan funcionar como señales anticipatorias del brote.</w:t>
            </w:r>
          </w:p>
          <w:p w14:paraId="0186FFFB" w14:textId="77777777" w:rsidR="00242AD1" w:rsidRDefault="00242AD1">
            <w:pPr>
              <w:spacing w:after="80"/>
            </w:pPr>
          </w:p>
          <w:p w14:paraId="3316E0B4" w14:textId="77777777" w:rsidR="00242AD1" w:rsidRDefault="00000000">
            <w:pPr>
              <w:spacing w:after="80"/>
            </w:pPr>
            <w:r>
              <w:t>El resultado del análisis busca ser un insumo útil para la planificación preventiva en salud pública, no una descripción clínica de la enfermedad ni un modelo de predicción.</w:t>
            </w:r>
          </w:p>
        </w:tc>
      </w:tr>
      <w:tr w:rsidR="00242AD1" w14:paraId="5CF497B4"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tcPr>
          <w:p w14:paraId="013E06BC" w14:textId="77777777" w:rsidR="00242AD1" w:rsidRDefault="00242AD1"/>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394FEC0" w14:textId="77777777" w:rsidR="00242AD1" w:rsidRDefault="00000000">
            <w:r>
              <w:rPr>
                <w:i/>
                <w:iCs/>
              </w:rPr>
              <w:t>Glosario de Términos</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5FDE088" w14:textId="77777777" w:rsidR="00242AD1" w:rsidRDefault="00000000">
            <w:pPr>
              <w:spacing w:after="80"/>
            </w:pPr>
            <w:r>
              <w:rPr>
                <w:b/>
                <w:bCs/>
              </w:rPr>
              <w:t xml:space="preserve">Enfermedades </w:t>
            </w:r>
            <w:proofErr w:type="spellStart"/>
            <w:r>
              <w:rPr>
                <w:b/>
                <w:bCs/>
              </w:rPr>
              <w:t>notificables</w:t>
            </w:r>
            <w:proofErr w:type="spellEnd"/>
            <w:r>
              <w:rPr>
                <w:b/>
                <w:bCs/>
              </w:rPr>
              <w:t xml:space="preserve">: </w:t>
            </w:r>
            <w:r>
              <w:t>enfermedad que debe ser reportada oficialmente al sistema de vigilancia sanitaria.</w:t>
            </w:r>
          </w:p>
          <w:p w14:paraId="379BA7C2" w14:textId="77777777" w:rsidR="00242AD1" w:rsidRDefault="00000000">
            <w:pPr>
              <w:spacing w:after="80"/>
            </w:pPr>
            <w:r>
              <w:rPr>
                <w:b/>
                <w:bCs/>
              </w:rPr>
              <w:t xml:space="preserve">Brote Epidemiológico: </w:t>
            </w:r>
            <w:r>
              <w:t>aumento inusual de casos de una enfermedad en una región o período determinado.</w:t>
            </w:r>
          </w:p>
          <w:p w14:paraId="697F9BF5" w14:textId="77777777" w:rsidR="00242AD1" w:rsidRDefault="00000000">
            <w:pPr>
              <w:spacing w:after="80"/>
            </w:pPr>
            <w:r>
              <w:rPr>
                <w:b/>
                <w:bCs/>
              </w:rPr>
              <w:t xml:space="preserve">Corredor Epidemiológico: </w:t>
            </w:r>
            <w:r>
              <w:t>banda de referencia histórica construida con datos de temporadas anteriores que permite identificar si la temporada en curso se encuentra dentro del rango esperado o en situación de alerta.</w:t>
            </w:r>
          </w:p>
          <w:p w14:paraId="5F8F0814" w14:textId="77777777" w:rsidR="00242AD1" w:rsidRDefault="00000000">
            <w:pPr>
              <w:spacing w:after="80"/>
            </w:pPr>
            <w:r>
              <w:rPr>
                <w:b/>
                <w:bCs/>
              </w:rPr>
              <w:t xml:space="preserve">SNVS 2.0: </w:t>
            </w:r>
            <w:r>
              <w:t>Sistema Nacional de Vigilancia de la Salud. Integra múltiples fuentes (clínica, laboratorio, vacunas, etc.) y centraliza la información epidemiológica en Argentina. El sistema SIVILA fue absorbido dentro del SNVS 2.0 y ya no opera de forma independiente.</w:t>
            </w:r>
          </w:p>
          <w:p w14:paraId="0D35CDB2" w14:textId="77777777" w:rsidR="00242AD1" w:rsidRDefault="00000000">
            <w:pPr>
              <w:spacing w:after="80"/>
            </w:pPr>
            <w:r>
              <w:rPr>
                <w:b/>
                <w:bCs/>
              </w:rPr>
              <w:t xml:space="preserve">Semana Epidemiológica: </w:t>
            </w:r>
            <w:r>
              <w:t>período semanal utilizado para el monitoreo sanitario. Es la unidad temporal central del análisis.</w:t>
            </w:r>
          </w:p>
          <w:p w14:paraId="6420E4C0" w14:textId="77777777" w:rsidR="00242AD1" w:rsidRDefault="00000000">
            <w:pPr>
              <w:spacing w:after="80"/>
            </w:pPr>
            <w:r>
              <w:rPr>
                <w:b/>
                <w:bCs/>
              </w:rPr>
              <w:t xml:space="preserve">Dashboard: </w:t>
            </w:r>
            <w:r>
              <w:t>tablero interactivo de visualización de datos.</w:t>
            </w:r>
          </w:p>
        </w:tc>
      </w:tr>
      <w:tr w:rsidR="00242AD1" w14:paraId="01B62A4D"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vAlign w:val="center"/>
          </w:tcPr>
          <w:p w14:paraId="2E6CBB32" w14:textId="77777777" w:rsidR="00242AD1" w:rsidRDefault="00000000">
            <w:pPr>
              <w:jc w:val="center"/>
            </w:pPr>
            <w:r>
              <w:rPr>
                <w:b/>
                <w:bCs/>
              </w:rPr>
              <w:t>Análisis de Datos</w:t>
            </w:r>
          </w:p>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C5628BC" w14:textId="77777777" w:rsidR="00242AD1" w:rsidRDefault="00000000">
            <w:r>
              <w:rPr>
                <w:i/>
                <w:iCs/>
              </w:rPr>
              <w:t>Diccionario Semántico</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0657749" w14:textId="77777777" w:rsidR="00242AD1" w:rsidRDefault="00000000">
            <w:pPr>
              <w:spacing w:after="80"/>
            </w:pPr>
            <w:proofErr w:type="spellStart"/>
            <w:r>
              <w:rPr>
                <w:b/>
                <w:bCs/>
              </w:rPr>
              <w:t>provincia_residencia</w:t>
            </w:r>
            <w:proofErr w:type="spellEnd"/>
            <w:r>
              <w:rPr>
                <w:b/>
                <w:bCs/>
              </w:rPr>
              <w:t xml:space="preserve">: </w:t>
            </w:r>
            <w:r>
              <w:t>provincia donde fue reportado el caso epidemiológico.</w:t>
            </w:r>
          </w:p>
          <w:p w14:paraId="3F9DEDD5" w14:textId="77777777" w:rsidR="00242AD1" w:rsidRDefault="00000000">
            <w:pPr>
              <w:spacing w:after="80"/>
            </w:pPr>
            <w:proofErr w:type="spellStart"/>
            <w:r>
              <w:rPr>
                <w:b/>
                <w:bCs/>
              </w:rPr>
              <w:lastRenderedPageBreak/>
              <w:t>departamento_residencia</w:t>
            </w:r>
            <w:proofErr w:type="spellEnd"/>
            <w:r>
              <w:rPr>
                <w:b/>
                <w:bCs/>
              </w:rPr>
              <w:t xml:space="preserve">: </w:t>
            </w:r>
            <w:r>
              <w:t>localidad o departamento correspondiente al caso reportado.</w:t>
            </w:r>
          </w:p>
          <w:p w14:paraId="28B9D4B4" w14:textId="77777777" w:rsidR="00242AD1" w:rsidRDefault="00000000">
            <w:pPr>
              <w:spacing w:after="80"/>
            </w:pPr>
            <w:proofErr w:type="spellStart"/>
            <w:r>
              <w:rPr>
                <w:b/>
                <w:bCs/>
              </w:rPr>
              <w:t>anio_min</w:t>
            </w:r>
            <w:proofErr w:type="spellEnd"/>
            <w:r>
              <w:rPr>
                <w:b/>
                <w:bCs/>
              </w:rPr>
              <w:t xml:space="preserve">: </w:t>
            </w:r>
            <w:r>
              <w:t>año correspondiente al registro epidemiológico.</w:t>
            </w:r>
          </w:p>
          <w:p w14:paraId="7C21CC70" w14:textId="77777777" w:rsidR="00242AD1" w:rsidRDefault="00000000">
            <w:pPr>
              <w:spacing w:after="80"/>
            </w:pPr>
            <w:proofErr w:type="spellStart"/>
            <w:r>
              <w:rPr>
                <w:b/>
                <w:bCs/>
              </w:rPr>
              <w:t>sepi_min</w:t>
            </w:r>
            <w:proofErr w:type="spellEnd"/>
            <w:r>
              <w:rPr>
                <w:b/>
                <w:bCs/>
              </w:rPr>
              <w:t xml:space="preserve">: </w:t>
            </w:r>
            <w:r>
              <w:t>semana epidemiológica del caso reportado. Variable central del análisis.</w:t>
            </w:r>
          </w:p>
          <w:p w14:paraId="37ACD6BB" w14:textId="77777777" w:rsidR="00242AD1" w:rsidRDefault="00000000">
            <w:pPr>
              <w:spacing w:after="80"/>
            </w:pPr>
            <w:proofErr w:type="spellStart"/>
            <w:r>
              <w:rPr>
                <w:b/>
                <w:bCs/>
              </w:rPr>
              <w:t>grupo_etario</w:t>
            </w:r>
            <w:proofErr w:type="spellEnd"/>
            <w:r>
              <w:rPr>
                <w:b/>
                <w:bCs/>
              </w:rPr>
              <w:t xml:space="preserve">: </w:t>
            </w:r>
            <w:r>
              <w:t>rango etario del caso registrado.</w:t>
            </w:r>
          </w:p>
          <w:p w14:paraId="7CB68917" w14:textId="77777777" w:rsidR="00242AD1" w:rsidRDefault="00000000">
            <w:pPr>
              <w:spacing w:after="80"/>
            </w:pPr>
            <w:r>
              <w:rPr>
                <w:b/>
                <w:bCs/>
              </w:rPr>
              <w:t xml:space="preserve">cantidad: </w:t>
            </w:r>
            <w:r>
              <w:t>cantidad de casos registrados para la combinación de variables.</w:t>
            </w:r>
          </w:p>
        </w:tc>
      </w:tr>
      <w:tr w:rsidR="00242AD1" w14:paraId="7B49EE7B"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tcPr>
          <w:p w14:paraId="448171A9" w14:textId="77777777" w:rsidR="00242AD1" w:rsidRDefault="00242AD1"/>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34F24840" w14:textId="77777777" w:rsidR="00242AD1" w:rsidRDefault="00000000">
            <w:r>
              <w:rPr>
                <w:i/>
                <w:iCs/>
              </w:rPr>
              <w:t>Factores Externos</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4DCA804A" w14:textId="77777777" w:rsidR="00242AD1" w:rsidRDefault="00000000">
            <w:pPr>
              <w:spacing w:after="80"/>
            </w:pPr>
            <w:r>
              <w:t>Los siguientes factores constituyen el contexto en el que se desarrollan los datos analizados. El proyecto no busca explicar causas del dengue sino identificar patrones observables en los registros de notificación:</w:t>
            </w:r>
          </w:p>
          <w:p w14:paraId="6CA863D5" w14:textId="77777777" w:rsidR="00242AD1" w:rsidRDefault="00242AD1">
            <w:pPr>
              <w:spacing w:after="80"/>
            </w:pPr>
          </w:p>
          <w:p w14:paraId="130AD120" w14:textId="77777777" w:rsidR="00242AD1" w:rsidRDefault="00000000">
            <w:pPr>
              <w:pStyle w:val="ListParagraph"/>
              <w:numPr>
                <w:ilvl w:val="0"/>
                <w:numId w:val="2"/>
              </w:numPr>
              <w:spacing w:after="60"/>
            </w:pPr>
            <w:r>
              <w:t>Estacionalidad: el dengue presenta un patrón estacional marcado en el hemisferio sur, con mayor actividad del vector durante los meses de verano y otoño.</w:t>
            </w:r>
          </w:p>
          <w:p w14:paraId="21057E16" w14:textId="77777777" w:rsidR="00242AD1" w:rsidRDefault="00000000">
            <w:pPr>
              <w:pStyle w:val="ListParagraph"/>
              <w:numPr>
                <w:ilvl w:val="0"/>
                <w:numId w:val="2"/>
              </w:numPr>
              <w:spacing w:after="60"/>
            </w:pPr>
            <w:r>
              <w:t xml:space="preserve">Condiciones climáticas: temperatura y humedad influyen en la actividad del vector Aedes </w:t>
            </w:r>
            <w:proofErr w:type="spellStart"/>
            <w:r>
              <w:t>aegypti</w:t>
            </w:r>
            <w:proofErr w:type="spellEnd"/>
            <w:r>
              <w:t>, pero no son variables del dataset analizado.</w:t>
            </w:r>
          </w:p>
          <w:p w14:paraId="6AC2D414" w14:textId="77777777" w:rsidR="00242AD1" w:rsidRDefault="00000000">
            <w:pPr>
              <w:pStyle w:val="ListParagraph"/>
              <w:numPr>
                <w:ilvl w:val="0"/>
                <w:numId w:val="2"/>
              </w:numPr>
              <w:spacing w:after="60"/>
            </w:pPr>
            <w:r>
              <w:t>Movilidad poblacional: puede contribuir a la expansión territorial del brote entre provincias.</w:t>
            </w:r>
          </w:p>
          <w:p w14:paraId="4F4EE50C" w14:textId="77777777" w:rsidR="00242AD1" w:rsidRDefault="00000000">
            <w:pPr>
              <w:pStyle w:val="ListParagraph"/>
              <w:numPr>
                <w:ilvl w:val="0"/>
                <w:numId w:val="2"/>
              </w:numPr>
              <w:spacing w:after="60"/>
            </w:pPr>
            <w:r>
              <w:t>Campañas de prevención: pueden explicar reducciones en la cantidad de casos en determinadas temporadas.</w:t>
            </w:r>
          </w:p>
          <w:p w14:paraId="20B5D8C6" w14:textId="77777777" w:rsidR="00242AD1" w:rsidRDefault="00000000">
            <w:pPr>
              <w:pStyle w:val="ListParagraph"/>
              <w:numPr>
                <w:ilvl w:val="0"/>
                <w:numId w:val="2"/>
              </w:numPr>
              <w:spacing w:after="60"/>
            </w:pPr>
            <w:r>
              <w:t>Capacidad de reporte sanitario: afecta la cobertura geográfica de los datos y puede generar subregistro en algunas jurisdicciones.</w:t>
            </w:r>
          </w:p>
        </w:tc>
      </w:tr>
      <w:tr w:rsidR="00242AD1" w14:paraId="02BC8AC1"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vAlign w:val="center"/>
          </w:tcPr>
          <w:p w14:paraId="5E4EDA9F" w14:textId="77777777" w:rsidR="00242AD1" w:rsidRDefault="00000000">
            <w:pPr>
              <w:jc w:val="center"/>
            </w:pPr>
            <w:r>
              <w:rPr>
                <w:b/>
                <w:bCs/>
              </w:rPr>
              <w:t>Validación de Hipótesis</w:t>
            </w:r>
          </w:p>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225DC02" w14:textId="77777777" w:rsidR="00242AD1" w:rsidRDefault="00000000">
            <w:r>
              <w:rPr>
                <w:i/>
                <w:iCs/>
              </w:rPr>
              <w:t>Preguntas de Investigación</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175EED3" w14:textId="77777777" w:rsidR="00242AD1" w:rsidRDefault="00000000">
            <w:pPr>
              <w:pStyle w:val="ListParagraph"/>
              <w:numPr>
                <w:ilvl w:val="0"/>
                <w:numId w:val="3"/>
              </w:numPr>
              <w:spacing w:after="60"/>
            </w:pPr>
            <w:r>
              <w:t>¿Cómo evolucionaron los casos a lo largo del período analizado?</w:t>
            </w:r>
          </w:p>
          <w:p w14:paraId="3457F409" w14:textId="77777777" w:rsidR="00242AD1" w:rsidRDefault="00000000">
            <w:pPr>
              <w:pStyle w:val="ListParagraph"/>
              <w:numPr>
                <w:ilvl w:val="0"/>
                <w:numId w:val="3"/>
              </w:numPr>
              <w:spacing w:after="60"/>
            </w:pPr>
            <w:r>
              <w:t>¿Qué provincias presentan mayor cantidad de casos de dengue?</w:t>
            </w:r>
          </w:p>
          <w:p w14:paraId="2D39DFE0" w14:textId="77777777" w:rsidR="00242AD1" w:rsidRDefault="00000000">
            <w:pPr>
              <w:pStyle w:val="ListParagraph"/>
              <w:numPr>
                <w:ilvl w:val="0"/>
                <w:numId w:val="3"/>
              </w:numPr>
              <w:spacing w:after="60"/>
            </w:pPr>
            <w:r>
              <w:t>¿Existen patrones estacionales en los brotes de dengue?</w:t>
            </w:r>
          </w:p>
          <w:p w14:paraId="204E6FB7" w14:textId="77777777" w:rsidR="00242AD1" w:rsidRDefault="00000000">
            <w:pPr>
              <w:pStyle w:val="ListParagraph"/>
              <w:numPr>
                <w:ilvl w:val="0"/>
                <w:numId w:val="3"/>
              </w:numPr>
              <w:spacing w:after="60"/>
            </w:pPr>
            <w:r>
              <w:t>¿Qué grupos etarios fueron más afectados?</w:t>
            </w:r>
          </w:p>
          <w:p w14:paraId="7C208310" w14:textId="77777777" w:rsidR="00242AD1" w:rsidRDefault="00000000">
            <w:pPr>
              <w:pStyle w:val="ListParagraph"/>
              <w:numPr>
                <w:ilvl w:val="0"/>
                <w:numId w:val="3"/>
              </w:numPr>
              <w:spacing w:after="60"/>
            </w:pPr>
            <w:r>
              <w:t>¿En qué semanas epidemiológicas se registran más casos?</w:t>
            </w:r>
          </w:p>
          <w:p w14:paraId="0650F6E0" w14:textId="77777777" w:rsidR="00242AD1" w:rsidRDefault="00000000">
            <w:pPr>
              <w:pStyle w:val="ListParagraph"/>
              <w:numPr>
                <w:ilvl w:val="0"/>
                <w:numId w:val="3"/>
              </w:numPr>
              <w:spacing w:after="60"/>
            </w:pPr>
            <w:r>
              <w:t>¿Existen regiones con recurrencia de brotes?</w:t>
            </w:r>
          </w:p>
          <w:p w14:paraId="6B1B9ECD" w14:textId="77777777" w:rsidR="00242AD1" w:rsidRDefault="00000000">
            <w:pPr>
              <w:pStyle w:val="ListParagraph"/>
              <w:numPr>
                <w:ilvl w:val="0"/>
                <w:numId w:val="3"/>
              </w:numPr>
              <w:spacing w:after="60"/>
            </w:pPr>
            <w:r>
              <w:t>¿Qué departamentos concentran más casos?</w:t>
            </w:r>
          </w:p>
          <w:p w14:paraId="1DA81DDA" w14:textId="77777777" w:rsidR="00242AD1" w:rsidRDefault="00000000">
            <w:pPr>
              <w:pStyle w:val="ListParagraph"/>
              <w:numPr>
                <w:ilvl w:val="0"/>
                <w:numId w:val="3"/>
              </w:numPr>
              <w:spacing w:after="60"/>
            </w:pPr>
            <w:r>
              <w:t>¿Cómo varía la distribución territorial a lo largo del tiempo?</w:t>
            </w:r>
          </w:p>
          <w:p w14:paraId="558E05F1" w14:textId="77777777" w:rsidR="00242AD1" w:rsidRDefault="00000000">
            <w:pPr>
              <w:pStyle w:val="ListParagraph"/>
              <w:numPr>
                <w:ilvl w:val="0"/>
                <w:numId w:val="3"/>
              </w:numPr>
              <w:spacing w:after="60"/>
            </w:pPr>
            <w:r>
              <w:t>¿Qué provincias tuvieron mayor crecimiento interanual?</w:t>
            </w:r>
          </w:p>
          <w:p w14:paraId="4486CEE9" w14:textId="77777777" w:rsidR="00242AD1" w:rsidRDefault="00000000">
            <w:pPr>
              <w:pStyle w:val="ListParagraph"/>
              <w:numPr>
                <w:ilvl w:val="0"/>
                <w:numId w:val="3"/>
              </w:numPr>
              <w:spacing w:after="60"/>
            </w:pPr>
            <w:r>
              <w:t>¿Cómo puede un dashboard facilitar la visualización y el monitoreo de tendencias epidemiológicas?</w:t>
            </w:r>
          </w:p>
        </w:tc>
      </w:tr>
      <w:tr w:rsidR="00242AD1" w14:paraId="2BF3D60F"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tcPr>
          <w:p w14:paraId="1623B3E1" w14:textId="77777777" w:rsidR="00242AD1" w:rsidRDefault="00242AD1"/>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72B88732" w14:textId="77777777" w:rsidR="00242AD1" w:rsidRDefault="00000000">
            <w:r>
              <w:rPr>
                <w:i/>
                <w:iCs/>
              </w:rPr>
              <w:t>Impacto Esperado</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2C276C72" w14:textId="77777777" w:rsidR="00242AD1" w:rsidRDefault="00000000">
            <w:pPr>
              <w:spacing w:after="80"/>
            </w:pPr>
            <w:r>
              <w:t>El proyecto busca proveer un análisis temporal del dengue en Argentina que permita identificar en qué semanas se concentran los brotes, evaluar si una temporada se comporta dentro o fuera del corredor epidemiológico histórico, y detectar provincias que anticipan el brote nacional.</w:t>
            </w:r>
          </w:p>
          <w:p w14:paraId="7F781ED0" w14:textId="77777777" w:rsidR="00242AD1" w:rsidRDefault="00242AD1">
            <w:pPr>
              <w:spacing w:after="80"/>
            </w:pPr>
          </w:p>
          <w:p w14:paraId="3E4303C1" w14:textId="77777777" w:rsidR="00242AD1" w:rsidRDefault="00000000">
            <w:pPr>
              <w:spacing w:after="80"/>
            </w:pPr>
            <w:r>
              <w:t xml:space="preserve">El resultado es un dashboard interactivo en Power BI orientado a facilitar la toma de decisiones en planificación sanitaria preventiva. Este enfoque fue validado con la Dra. Alejandra Aguilera, </w:t>
            </w:r>
            <w:proofErr w:type="gramStart"/>
            <w:r>
              <w:t>Jefa</w:t>
            </w:r>
            <w:proofErr w:type="gramEnd"/>
            <w:r>
              <w:t xml:space="preserve"> de Epidemiología Provincial del Ministerio de Salud, quien confirmó que el análisis temporal por semana epidemiológica es el de mayor valor operativo para la toma de decisiones sanitarias.</w:t>
            </w:r>
          </w:p>
        </w:tc>
      </w:tr>
      <w:tr w:rsidR="00242AD1" w14:paraId="70480479" w14:textId="77777777">
        <w:tblPrEx>
          <w:tblCellMar>
            <w:top w:w="0" w:type="dxa"/>
            <w:bottom w:w="0" w:type="dxa"/>
          </w:tblCellMar>
        </w:tblPrEx>
        <w:tc>
          <w:tcPr>
            <w:tcW w:w="15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40" w:type="dxa"/>
              <w:bottom w:w="120" w:type="dxa"/>
              <w:right w:w="140" w:type="dxa"/>
            </w:tcMar>
            <w:vAlign w:val="center"/>
          </w:tcPr>
          <w:p w14:paraId="4467DA36" w14:textId="77777777" w:rsidR="00242AD1" w:rsidRDefault="00000000">
            <w:pPr>
              <w:jc w:val="center"/>
            </w:pPr>
            <w:r>
              <w:rPr>
                <w:b/>
                <w:bCs/>
              </w:rPr>
              <w:t>Observación</w:t>
            </w:r>
          </w:p>
        </w:tc>
        <w:tc>
          <w:tcPr>
            <w:tcW w:w="190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5F2B1E82" w14:textId="77777777" w:rsidR="00242AD1" w:rsidRDefault="00000000">
            <w:r>
              <w:rPr>
                <w:i/>
                <w:iCs/>
              </w:rPr>
              <w:t>Observación – Limitaciones Identificadas</w:t>
            </w:r>
          </w:p>
        </w:tc>
        <w:tc>
          <w:tcPr>
            <w:tcW w:w="5626"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tcPr>
          <w:p w14:paraId="143E59B7" w14:textId="77777777" w:rsidR="00242AD1" w:rsidRDefault="00000000">
            <w:pPr>
              <w:pStyle w:val="ListParagraph"/>
              <w:numPr>
                <w:ilvl w:val="0"/>
                <w:numId w:val="2"/>
              </w:numPr>
              <w:spacing w:after="60"/>
            </w:pPr>
            <w:r>
              <w:t>No se incluyen variables climáticas, socioeconómicas o ambientales. Estos factores son contexto del fenómeno, no variables del análisis. La semana epidemiológica permite inferir la estación del año en que ocurrieron los casos.</w:t>
            </w:r>
          </w:p>
          <w:p w14:paraId="370477F4" w14:textId="77777777" w:rsidR="00242AD1" w:rsidRDefault="00000000">
            <w:pPr>
              <w:pStyle w:val="ListParagraph"/>
              <w:numPr>
                <w:ilvl w:val="0"/>
                <w:numId w:val="2"/>
              </w:numPr>
              <w:spacing w:after="60"/>
            </w:pPr>
            <w:r>
              <w:t>El proyecto no busca realizar predicciones clínicas ni diagnósticos médicos.</w:t>
            </w:r>
          </w:p>
          <w:p w14:paraId="417AA781" w14:textId="77777777" w:rsidR="00242AD1" w:rsidRDefault="00000000">
            <w:pPr>
              <w:pStyle w:val="ListParagraph"/>
              <w:numPr>
                <w:ilvl w:val="0"/>
                <w:numId w:val="2"/>
              </w:numPr>
              <w:spacing w:after="60"/>
            </w:pPr>
            <w:r>
              <w:t>El dataset 2022 cubre solo 11 provincias frente a 25 en los años siguientes, lo que limita la comparación geográfica entre temporadas.</w:t>
            </w:r>
          </w:p>
          <w:p w14:paraId="1978CDDE" w14:textId="77777777" w:rsidR="00242AD1" w:rsidRDefault="00000000">
            <w:pPr>
              <w:pStyle w:val="ListParagraph"/>
              <w:numPr>
                <w:ilvl w:val="0"/>
                <w:numId w:val="2"/>
              </w:numPr>
              <w:spacing w:after="60"/>
            </w:pPr>
            <w:r>
              <w:t>Hay registros de casos con provincia y departamento desconocidos (ID 999) en el dataset 2024, representando el 4,7% de los casos de ese año. Se excluyen del análisis provincial pero se contabilizan en totales nacionales.</w:t>
            </w:r>
          </w:p>
          <w:p w14:paraId="4A7E747F" w14:textId="77777777" w:rsidR="00242AD1" w:rsidRDefault="00000000">
            <w:pPr>
              <w:pStyle w:val="ListParagraph"/>
              <w:numPr>
                <w:ilvl w:val="0"/>
                <w:numId w:val="2"/>
              </w:numPr>
              <w:spacing w:after="60"/>
            </w:pPr>
            <w:r>
              <w:t>Los datos de 2025 son parciales al momento del análisis (hasta semana 51).</w:t>
            </w:r>
          </w:p>
        </w:tc>
      </w:tr>
    </w:tbl>
    <w:p w14:paraId="15E09C15" w14:textId="77777777" w:rsidR="00242AD1" w:rsidRDefault="00242AD1">
      <w:pPr>
        <w:spacing w:after="280"/>
      </w:pPr>
    </w:p>
    <w:p w14:paraId="64D08A7F" w14:textId="77777777" w:rsidR="00242AD1" w:rsidRDefault="00000000">
      <w:pPr>
        <w:spacing w:after="160"/>
      </w:pPr>
      <w:r>
        <w:rPr>
          <w:b/>
          <w:bCs/>
          <w:sz w:val="24"/>
          <w:szCs w:val="24"/>
        </w:rPr>
        <w:t>Fuentes Oficiales de Referencia</w:t>
      </w:r>
    </w:p>
    <w:p w14:paraId="49C4C633" w14:textId="5015AC71" w:rsidR="00242AD1" w:rsidRDefault="00000000" w:rsidP="00833D4B">
      <w:pPr>
        <w:spacing w:after="80"/>
      </w:pPr>
      <w:r>
        <w:t xml:space="preserve">• Portal de Datos Abiertos de Salud de Argentina — </w:t>
      </w:r>
      <w:proofErr w:type="gramStart"/>
      <w:r>
        <w:t>Link</w:t>
      </w:r>
      <w:proofErr w:type="gramEnd"/>
      <w:r>
        <w:t xml:space="preserve">: </w:t>
      </w:r>
      <w:r>
        <w:rPr>
          <w:color w:val="1155CC"/>
        </w:rPr>
        <w:t>https://datos.salud.gob.ar/dataset/vigilancia-de-dengue-y-zika</w:t>
      </w:r>
    </w:p>
    <w:sectPr w:rsidR="00242AD1">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18D5" w14:textId="77777777" w:rsidR="00691CDA" w:rsidRDefault="00691CDA" w:rsidP="00833D4B">
      <w:r>
        <w:separator/>
      </w:r>
    </w:p>
  </w:endnote>
  <w:endnote w:type="continuationSeparator" w:id="0">
    <w:p w14:paraId="36A12F3E" w14:textId="77777777" w:rsidR="00691CDA" w:rsidRDefault="00691CDA" w:rsidP="0083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8E14" w14:textId="77777777" w:rsidR="00833D4B" w:rsidRDefault="00833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0280" w14:textId="77777777" w:rsidR="00833D4B" w:rsidRDefault="00833D4B" w:rsidP="00833D4B">
    <w:r>
      <w:pict w14:anchorId="701D2AB3">
        <v:rect id="_x0000_i1027" style="width:0;height:1.5pt" o:hralign="center" o:hrstd="t" o:hr="t" fillcolor="#a0a0a0" stroked="f"/>
      </w:pict>
    </w:r>
  </w:p>
  <w:p w14:paraId="43F8AA83" w14:textId="77777777" w:rsidR="00833D4B" w:rsidRDefault="00833D4B" w:rsidP="00833D4B">
    <w:pPr>
      <w:jc w:val="right"/>
      <w:rPr>
        <w:rFonts w:ascii="Roboto" w:eastAsia="Roboto" w:hAnsi="Roboto" w:cs="Roboto"/>
        <w:color w:val="666666"/>
        <w:sz w:val="16"/>
        <w:szCs w:val="16"/>
      </w:rPr>
    </w:pPr>
    <w:r>
      <w:rPr>
        <w:rFonts w:ascii="Roboto" w:eastAsia="Roboto" w:hAnsi="Roboto" w:cs="Roboto"/>
        <w:color w:val="666666"/>
        <w:sz w:val="16"/>
        <w:szCs w:val="16"/>
      </w:rPr>
      <w:t xml:space="preserve">1° Año 1° Cuatrimestre - 2026                                                                                                                                                              </w:t>
    </w:r>
  </w:p>
  <w:p w14:paraId="32DA1681" w14:textId="06F7A366" w:rsidR="00833D4B" w:rsidRPr="00833D4B" w:rsidRDefault="00833D4B" w:rsidP="00833D4B">
    <w:pPr>
      <w:jc w:val="right"/>
      <w:rPr>
        <w:rFonts w:ascii="Roboto" w:eastAsia="Roboto" w:hAnsi="Roboto" w:cs="Roboto"/>
        <w:color w:val="666666"/>
        <w:sz w:val="16"/>
        <w:szCs w:val="16"/>
      </w:rPr>
    </w:pPr>
    <w:r>
      <w:rPr>
        <w:rFonts w:ascii="Roboto" w:eastAsia="Roboto" w:hAnsi="Roboto" w:cs="Roboto"/>
        <w:color w:val="666666"/>
        <w:sz w:val="16"/>
        <w:szCs w:val="16"/>
      </w:rPr>
      <w:t xml:space="preserve"> Página </w:t>
    </w:r>
    <w:r>
      <w:rPr>
        <w:rFonts w:ascii="Roboto" w:eastAsia="Roboto" w:hAnsi="Roboto" w:cs="Roboto"/>
        <w:color w:val="666666"/>
        <w:sz w:val="16"/>
        <w:szCs w:val="16"/>
      </w:rPr>
      <w:fldChar w:fldCharType="begin"/>
    </w:r>
    <w:r>
      <w:rPr>
        <w:rFonts w:ascii="Roboto" w:eastAsia="Roboto" w:hAnsi="Roboto" w:cs="Roboto"/>
        <w:color w:val="666666"/>
        <w:sz w:val="16"/>
        <w:szCs w:val="16"/>
      </w:rPr>
      <w:instrText>PAGE</w:instrText>
    </w:r>
    <w:r>
      <w:rPr>
        <w:rFonts w:ascii="Roboto" w:eastAsia="Roboto" w:hAnsi="Roboto" w:cs="Roboto"/>
        <w:color w:val="666666"/>
        <w:sz w:val="16"/>
        <w:szCs w:val="16"/>
      </w:rPr>
      <w:fldChar w:fldCharType="separate"/>
    </w:r>
    <w:r>
      <w:rPr>
        <w:rFonts w:ascii="Roboto" w:eastAsia="Roboto" w:hAnsi="Roboto" w:cs="Roboto"/>
        <w:color w:val="666666"/>
        <w:sz w:val="16"/>
        <w:szCs w:val="16"/>
      </w:rPr>
      <w:t>1</w:t>
    </w:r>
    <w:r>
      <w:rPr>
        <w:rFonts w:ascii="Roboto" w:eastAsia="Roboto" w:hAnsi="Roboto" w:cs="Roboto"/>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DCA1" w14:textId="77777777" w:rsidR="00833D4B" w:rsidRDefault="0083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E87A" w14:textId="77777777" w:rsidR="00691CDA" w:rsidRDefault="00691CDA" w:rsidP="00833D4B">
      <w:r>
        <w:separator/>
      </w:r>
    </w:p>
  </w:footnote>
  <w:footnote w:type="continuationSeparator" w:id="0">
    <w:p w14:paraId="6BB09FE1" w14:textId="77777777" w:rsidR="00691CDA" w:rsidRDefault="00691CDA" w:rsidP="00833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9DC9" w14:textId="77777777" w:rsidR="00833D4B" w:rsidRDefault="00833D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94B5" w14:textId="77777777" w:rsidR="00833D4B" w:rsidRDefault="00833D4B" w:rsidP="00833D4B">
    <w:pPr>
      <w:jc w:val="center"/>
      <w:rPr>
        <w:rFonts w:ascii="Roboto" w:eastAsia="Roboto" w:hAnsi="Roboto" w:cs="Roboto"/>
        <w:color w:val="666666"/>
        <w:sz w:val="23"/>
        <w:szCs w:val="23"/>
      </w:rPr>
    </w:pPr>
    <w:r>
      <w:rPr>
        <w:noProof/>
      </w:rPr>
      <w:drawing>
        <wp:anchor distT="19050" distB="19050" distL="19050" distR="19050" simplePos="0" relativeHeight="251659264" behindDoc="0" locked="0" layoutInCell="1" hidden="0" allowOverlap="1" wp14:anchorId="33779A32" wp14:editId="0E6332DB">
          <wp:simplePos x="0" y="0"/>
          <wp:positionH relativeFrom="column">
            <wp:posOffset>-684822</wp:posOffset>
          </wp:positionH>
          <wp:positionV relativeFrom="paragraph">
            <wp:posOffset>-320979</wp:posOffset>
          </wp:positionV>
          <wp:extent cx="720000" cy="720000"/>
          <wp:effectExtent l="0" t="0" r="4445" b="4445"/>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20000" cy="720000"/>
                  </a:xfrm>
                  <a:prstGeom prst="rect">
                    <a:avLst/>
                  </a:prstGeom>
                  <a:ln/>
                </pic:spPr>
              </pic:pic>
            </a:graphicData>
          </a:graphic>
          <wp14:sizeRelH relativeFrom="margin">
            <wp14:pctWidth>0</wp14:pctWidth>
          </wp14:sizeRelH>
          <wp14:sizeRelV relativeFrom="margin">
            <wp14:pctHeight>0</wp14:pctHeight>
          </wp14:sizeRelV>
        </wp:anchor>
      </w:drawing>
    </w:r>
    <w:r>
      <w:rPr>
        <w:color w:val="666666"/>
      </w:rPr>
      <w:t xml:space="preserve">   </w:t>
    </w:r>
    <w:r>
      <w:rPr>
        <w:rFonts w:ascii="Roboto" w:eastAsia="Roboto" w:hAnsi="Roboto" w:cs="Roboto"/>
        <w:color w:val="666666"/>
      </w:rPr>
      <w:t xml:space="preserve"> </w:t>
    </w:r>
    <w:hyperlink r:id="rId2">
      <w:r>
        <w:rPr>
          <w:rFonts w:ascii="Roboto" w:eastAsia="Roboto" w:hAnsi="Roboto" w:cs="Roboto"/>
          <w:color w:val="666666"/>
          <w:sz w:val="23"/>
          <w:szCs w:val="23"/>
        </w:rPr>
        <w:t>Ciencia de Datos en el Sector de Salud Pública en Argentina</w:t>
      </w:r>
    </w:hyperlink>
  </w:p>
  <w:p w14:paraId="7EC9CAA0" w14:textId="77777777" w:rsidR="00833D4B" w:rsidRDefault="00833D4B" w:rsidP="00833D4B">
    <w:pPr>
      <w:jc w:val="center"/>
      <w:rPr>
        <w:rFonts w:ascii="Roboto" w:eastAsia="Roboto" w:hAnsi="Roboto" w:cs="Roboto"/>
        <w:color w:val="666666"/>
        <w:sz w:val="23"/>
        <w:szCs w:val="23"/>
      </w:rPr>
    </w:pPr>
    <w:r>
      <w:rPr>
        <w:rFonts w:ascii="Roboto" w:eastAsia="Roboto" w:hAnsi="Roboto" w:cs="Roboto"/>
        <w:color w:val="666666"/>
        <w:sz w:val="23"/>
        <w:szCs w:val="23"/>
      </w:rPr>
      <w:t>Equipo 1 - Prácticas Profesionalizantes I</w:t>
    </w:r>
  </w:p>
  <w:p w14:paraId="2FABB261" w14:textId="1E6F6B64" w:rsidR="00833D4B" w:rsidRDefault="00833D4B" w:rsidP="00833D4B">
    <w:pPr>
      <w:pStyle w:val="Header"/>
    </w:pPr>
    <w:r>
      <w:pict w14:anchorId="27E2D4A5">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DBD0" w14:textId="77777777" w:rsidR="00833D4B" w:rsidRDefault="00833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33D5"/>
    <w:multiLevelType w:val="hybridMultilevel"/>
    <w:tmpl w:val="7F742CD6"/>
    <w:lvl w:ilvl="0" w:tplc="8840A6AA">
      <w:start w:val="1"/>
      <w:numFmt w:val="decimal"/>
      <w:lvlText w:val="%1."/>
      <w:lvlJc w:val="left"/>
      <w:pPr>
        <w:ind w:left="560" w:hanging="280"/>
      </w:pPr>
    </w:lvl>
    <w:lvl w:ilvl="1" w:tplc="374E1032">
      <w:numFmt w:val="decimal"/>
      <w:lvlText w:val=""/>
      <w:lvlJc w:val="left"/>
    </w:lvl>
    <w:lvl w:ilvl="2" w:tplc="AFCA7BF0">
      <w:numFmt w:val="decimal"/>
      <w:lvlText w:val=""/>
      <w:lvlJc w:val="left"/>
    </w:lvl>
    <w:lvl w:ilvl="3" w:tplc="0CACA1D8">
      <w:numFmt w:val="decimal"/>
      <w:lvlText w:val=""/>
      <w:lvlJc w:val="left"/>
    </w:lvl>
    <w:lvl w:ilvl="4" w:tplc="8E4A57E8">
      <w:numFmt w:val="decimal"/>
      <w:lvlText w:val=""/>
      <w:lvlJc w:val="left"/>
    </w:lvl>
    <w:lvl w:ilvl="5" w:tplc="CA92DC84">
      <w:numFmt w:val="decimal"/>
      <w:lvlText w:val=""/>
      <w:lvlJc w:val="left"/>
    </w:lvl>
    <w:lvl w:ilvl="6" w:tplc="3AB24280">
      <w:numFmt w:val="decimal"/>
      <w:lvlText w:val=""/>
      <w:lvlJc w:val="left"/>
    </w:lvl>
    <w:lvl w:ilvl="7" w:tplc="B61CF8A4">
      <w:numFmt w:val="decimal"/>
      <w:lvlText w:val=""/>
      <w:lvlJc w:val="left"/>
    </w:lvl>
    <w:lvl w:ilvl="8" w:tplc="44C23912">
      <w:numFmt w:val="decimal"/>
      <w:lvlText w:val=""/>
      <w:lvlJc w:val="left"/>
    </w:lvl>
  </w:abstractNum>
  <w:abstractNum w:abstractNumId="1" w15:restartNumberingAfterBreak="0">
    <w:nsid w:val="3D9C48CC"/>
    <w:multiLevelType w:val="hybridMultilevel"/>
    <w:tmpl w:val="19DED5B0"/>
    <w:lvl w:ilvl="0" w:tplc="7F787F8E">
      <w:start w:val="1"/>
      <w:numFmt w:val="bullet"/>
      <w:lvlText w:val="•"/>
      <w:lvlJc w:val="left"/>
      <w:pPr>
        <w:ind w:left="560" w:hanging="280"/>
      </w:pPr>
    </w:lvl>
    <w:lvl w:ilvl="1" w:tplc="E1562A98">
      <w:numFmt w:val="decimal"/>
      <w:lvlText w:val=""/>
      <w:lvlJc w:val="left"/>
    </w:lvl>
    <w:lvl w:ilvl="2" w:tplc="643E2CC6">
      <w:numFmt w:val="decimal"/>
      <w:lvlText w:val=""/>
      <w:lvlJc w:val="left"/>
    </w:lvl>
    <w:lvl w:ilvl="3" w:tplc="0A387CC8">
      <w:numFmt w:val="decimal"/>
      <w:lvlText w:val=""/>
      <w:lvlJc w:val="left"/>
    </w:lvl>
    <w:lvl w:ilvl="4" w:tplc="6F629742">
      <w:numFmt w:val="decimal"/>
      <w:lvlText w:val=""/>
      <w:lvlJc w:val="left"/>
    </w:lvl>
    <w:lvl w:ilvl="5" w:tplc="29588B90">
      <w:numFmt w:val="decimal"/>
      <w:lvlText w:val=""/>
      <w:lvlJc w:val="left"/>
    </w:lvl>
    <w:lvl w:ilvl="6" w:tplc="BCBE38A8">
      <w:numFmt w:val="decimal"/>
      <w:lvlText w:val=""/>
      <w:lvlJc w:val="left"/>
    </w:lvl>
    <w:lvl w:ilvl="7" w:tplc="0E6EE8A8">
      <w:numFmt w:val="decimal"/>
      <w:lvlText w:val=""/>
      <w:lvlJc w:val="left"/>
    </w:lvl>
    <w:lvl w:ilvl="8" w:tplc="FD06687C">
      <w:numFmt w:val="decimal"/>
      <w:lvlText w:val=""/>
      <w:lvlJc w:val="left"/>
    </w:lvl>
  </w:abstractNum>
  <w:abstractNum w:abstractNumId="2" w15:restartNumberingAfterBreak="0">
    <w:nsid w:val="61177B90"/>
    <w:multiLevelType w:val="hybridMultilevel"/>
    <w:tmpl w:val="35926D1C"/>
    <w:lvl w:ilvl="0" w:tplc="4260E596">
      <w:start w:val="1"/>
      <w:numFmt w:val="bullet"/>
      <w:lvlText w:val="●"/>
      <w:lvlJc w:val="left"/>
      <w:pPr>
        <w:ind w:left="720" w:hanging="360"/>
      </w:pPr>
    </w:lvl>
    <w:lvl w:ilvl="1" w:tplc="3A9E5076">
      <w:start w:val="1"/>
      <w:numFmt w:val="bullet"/>
      <w:lvlText w:val="○"/>
      <w:lvlJc w:val="left"/>
      <w:pPr>
        <w:ind w:left="1440" w:hanging="360"/>
      </w:pPr>
    </w:lvl>
    <w:lvl w:ilvl="2" w:tplc="2C96DA7A">
      <w:start w:val="1"/>
      <w:numFmt w:val="bullet"/>
      <w:lvlText w:val="■"/>
      <w:lvlJc w:val="left"/>
      <w:pPr>
        <w:ind w:left="2160" w:hanging="360"/>
      </w:pPr>
    </w:lvl>
    <w:lvl w:ilvl="3" w:tplc="3DF65BCC">
      <w:start w:val="1"/>
      <w:numFmt w:val="bullet"/>
      <w:lvlText w:val="●"/>
      <w:lvlJc w:val="left"/>
      <w:pPr>
        <w:ind w:left="2880" w:hanging="360"/>
      </w:pPr>
    </w:lvl>
    <w:lvl w:ilvl="4" w:tplc="F7E22666">
      <w:start w:val="1"/>
      <w:numFmt w:val="bullet"/>
      <w:lvlText w:val="○"/>
      <w:lvlJc w:val="left"/>
      <w:pPr>
        <w:ind w:left="3600" w:hanging="360"/>
      </w:pPr>
    </w:lvl>
    <w:lvl w:ilvl="5" w:tplc="801645E2">
      <w:start w:val="1"/>
      <w:numFmt w:val="bullet"/>
      <w:lvlText w:val="■"/>
      <w:lvlJc w:val="left"/>
      <w:pPr>
        <w:ind w:left="4320" w:hanging="360"/>
      </w:pPr>
    </w:lvl>
    <w:lvl w:ilvl="6" w:tplc="77A09ECE">
      <w:start w:val="1"/>
      <w:numFmt w:val="bullet"/>
      <w:lvlText w:val="●"/>
      <w:lvlJc w:val="left"/>
      <w:pPr>
        <w:ind w:left="5040" w:hanging="360"/>
      </w:pPr>
    </w:lvl>
    <w:lvl w:ilvl="7" w:tplc="B0C89240">
      <w:start w:val="1"/>
      <w:numFmt w:val="bullet"/>
      <w:lvlText w:val="●"/>
      <w:lvlJc w:val="left"/>
      <w:pPr>
        <w:ind w:left="5760" w:hanging="360"/>
      </w:pPr>
    </w:lvl>
    <w:lvl w:ilvl="8" w:tplc="0D70FB7A">
      <w:start w:val="1"/>
      <w:numFmt w:val="bullet"/>
      <w:lvlText w:val="●"/>
      <w:lvlJc w:val="left"/>
      <w:pPr>
        <w:ind w:left="6480" w:hanging="360"/>
      </w:pPr>
    </w:lvl>
  </w:abstractNum>
  <w:num w:numId="1" w16cid:durableId="918909586">
    <w:abstractNumId w:val="2"/>
    <w:lvlOverride w:ilvl="0">
      <w:startOverride w:val="1"/>
    </w:lvlOverride>
  </w:num>
  <w:num w:numId="2" w16cid:durableId="716781179">
    <w:abstractNumId w:val="1"/>
    <w:lvlOverride w:ilvl="0">
      <w:startOverride w:val="1"/>
    </w:lvlOverride>
  </w:num>
  <w:num w:numId="3" w16cid:durableId="541408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AD1"/>
    <w:rsid w:val="00242AD1"/>
    <w:rsid w:val="00691CDA"/>
    <w:rsid w:val="00833D4B"/>
    <w:rsid w:val="00EC2A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1015"/>
  <w15:docId w15:val="{64680991-2624-40E0-98F1-659C758E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3D4B"/>
    <w:pPr>
      <w:tabs>
        <w:tab w:val="center" w:pos="4513"/>
        <w:tab w:val="right" w:pos="9026"/>
      </w:tabs>
    </w:pPr>
  </w:style>
  <w:style w:type="character" w:customStyle="1" w:styleId="HeaderChar">
    <w:name w:val="Header Char"/>
    <w:basedOn w:val="DefaultParagraphFont"/>
    <w:link w:val="Header"/>
    <w:uiPriority w:val="99"/>
    <w:rsid w:val="00833D4B"/>
  </w:style>
  <w:style w:type="paragraph" w:styleId="Footer">
    <w:name w:val="footer"/>
    <w:basedOn w:val="Normal"/>
    <w:link w:val="FooterChar"/>
    <w:uiPriority w:val="99"/>
    <w:unhideWhenUsed/>
    <w:rsid w:val="00833D4B"/>
    <w:pPr>
      <w:tabs>
        <w:tab w:val="center" w:pos="4513"/>
        <w:tab w:val="right" w:pos="9026"/>
      </w:tabs>
    </w:pPr>
  </w:style>
  <w:style w:type="character" w:customStyle="1" w:styleId="FooterChar">
    <w:name w:val="Footer Char"/>
    <w:basedOn w:val="DefaultParagraphFont"/>
    <w:link w:val="Footer"/>
    <w:uiPriority w:val="99"/>
    <w:rsid w:val="00833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https://docs.google.com/document/d/1vtiLRDYTAJrs_jAE6OjgCeuqpsEk1liaXg15vSPahkQ/edit?usp=drive_lin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818</Words>
  <Characters>4737</Characters>
  <Application>Microsoft Office Word</Application>
  <DocSecurity>0</DocSecurity>
  <Lines>107</Lines>
  <Paragraphs>49</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Monllor</cp:lastModifiedBy>
  <cp:revision>2</cp:revision>
  <dcterms:created xsi:type="dcterms:W3CDTF">2026-05-18T00:31:00Z</dcterms:created>
  <dcterms:modified xsi:type="dcterms:W3CDTF">2026-05-18T00:33:00Z</dcterms:modified>
</cp:coreProperties>
</file>