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AB1E2EB">
      <w:pPr>
        <w:spacing w:before="80" w:after="40"/>
        <w:jc w:val="left"/>
      </w:pPr>
      <w:r>
        <w:rPr>
          <w:rFonts w:ascii="Calibri" w:hAnsi="Calibri" w:eastAsia="ＭＳ 明朝" w:cs="Calibri" w:eastAsiaTheme="minorEastAsia" w:csTheme="minorBidi"/>
          <w:b/>
          <w:bCs/>
          <w:color w:val="0284C7"/>
          <w:sz w:val="22"/>
          <w:szCs w:val="22"/>
        </w:rPr>
        <w:t>ANEXO C.1</w:t>
      </w:r>
    </w:p>
    <w:p w14:paraId="3835AB45">
      <w:pPr>
        <w:spacing w:after="60"/>
      </w:pPr>
      <w:r>
        <w:rPr>
          <w:rFonts w:ascii="Calibri" w:hAnsi="Calibri" w:eastAsia="ＭＳ 明朝" w:cs="Calibri" w:eastAsiaTheme="minorEastAsia" w:csTheme="minorBidi"/>
          <w:b/>
          <w:bCs/>
          <w:color w:val="0A508C"/>
          <w:sz w:val="34"/>
          <w:szCs w:val="22"/>
        </w:rPr>
        <w:t>Diagrama de Flujo y Arquitectura Híbrida del Sistema</w:t>
      </w:r>
    </w:p>
    <w:p w14:paraId="553A858E">
      <w:pPr>
        <w:spacing w:after="200"/>
      </w:pPr>
      <w:r>
        <w:rPr>
          <w:rFonts w:ascii="Calibri" w:hAnsi="Calibri" w:eastAsia="ＭＳ 明朝" w:cs="Calibri" w:eastAsiaTheme="minorEastAsia" w:csTheme="minorBidi"/>
          <w:i/>
          <w:iCs/>
          <w:color w:val="475569"/>
          <w:sz w:val="21"/>
          <w:szCs w:val="22"/>
        </w:rPr>
        <w:t>Esquema técnico detallado del pipeline: entrada de video, extracción local de 33 landmarks con MediaPipe WASM (450 ms), prompt multimodal estructurado, inferencia en la API Gemini (4.2 s) y ensamblador local de documentos Word.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972"/>
      </w:tblGrid>
      <w:tr>
        <w:tc>
          <w:tcPr>
            <w:tcW w:w="9972" w:type="dxa"/>
            <w:shd w:val="clear" w:fill="0A508C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FC4DE64">
            <w:pPr>
              <w:spacing w:after="0"/>
            </w:pPr>
          </w:p>
        </w:tc>
      </w:tr>
    </w:tbl>
    <w:p w14:paraId="40A80694">
      <w:pPr>
        <w:spacing w:after="120"/>
      </w:pP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972"/>
      </w:tblGrid>
      <w:tr>
        <w:tc>
          <w:tcPr>
            <w:tcW w:w="9972" w:type="dxa"/>
            <w:shd w:val="clear" w:fill="E0F2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843C73">
            <w:pPr>
              <w:spacing w:after="40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0A508C"/>
                <w:sz w:val="20"/>
                <w:szCs w:val="22"/>
              </w:rPr>
              <w:t>📌 SÍNTESIS EJECUTIVA DE LA ARQUITECTURA EDGE-CLOUD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color w:val="0F172A"/>
                <w:sz w:val="19"/>
                <w:szCs w:val="22"/>
              </w:rPr>
              <w:t>AulaGlobal360 resuelve la tensión entre privacidad de datos biométricos de menores y alta capacidad analítica mediante un modelo híbrido: el procesamiento pesado de video y extracción articular (33 landmarks 3D) ocurre 100% en el navegador del cliente mediante WebAssembly (WASM), sin transmitir videos a servidores externos. Únicamente se envía un paquete JSON con 8 fotogramas normalizados y telemetría a la API de Google Gemini (4.2 s), contando además con un fallback determinista local de tolerancia cero a fallos.</w:t>
            </w:r>
          </w:p>
        </w:tc>
      </w:tr>
    </w:tbl>
    <w:p w14:paraId="5F762371">
      <w:pPr>
        <w:spacing w:after="60"/>
      </w:pPr>
    </w:p>
    <w:p w14:paraId="1B51DDC5">
      <w:pPr>
        <w:pStyle w:val="Heading1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A508C"/>
          <w:sz w:val="25"/>
          <w:szCs w:val="28"/>
        </w:rPr>
        <w:t>1. Esquema General del Pipeline de Procesamiento (5 Etapas)</w:t>
      </w:r>
    </w:p>
    <w:p w14:paraId="4067FB07">
      <w:pPr>
        <w:spacing w:after="80" w:line="276" w:lineRule="auto"/>
      </w:pPr>
      <w:r>
        <w:rPr>
          <w:rFonts w:ascii="Calibri" w:hAnsi="Calibri" w:eastAsia="ＭＳ 明朝" w:cs="Calibri" w:eastAsiaTheme="minorEastAsia" w:csTheme="minorBidi"/>
          <w:color w:val="1E293B"/>
          <w:sz w:val="20"/>
          <w:szCs w:val="22"/>
        </w:rPr>
        <w:t>El ciclo completo de evaluación de una Habilidad Motriz Básica (HMB) se articula en una tubería secuencial estandarizada con tiempos de cómputo auditados empíricamente: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986"/>
        <w:gridCol w:w="4986"/>
      </w:tblGrid>
      <w:tr>
        <w:tc>
          <w:tcPr>
            <w:tcW w:w="2551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DC10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FASE DEL PIPELINE</w:t>
            </w:r>
          </w:p>
        </w:tc>
        <w:tc>
          <w:tcPr>
            <w:tcW w:w="7421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B57F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DESCRIPCIÓN TÉCNICA Y ESPECIFICACIONES</w:t>
            </w:r>
          </w:p>
        </w:tc>
      </w:tr>
      <w:tr>
        <w:tc>
          <w:tcPr>
            <w:tcW w:w="255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B5DE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Etapa 1: Ingesta y Decodificación de Video</w:t>
            </w:r>
          </w:p>
        </w:tc>
        <w:tc>
          <w:tcPr>
            <w:tcW w:w="742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0435F">
            <w:pPr>
              <w:spacing w:after="0"/>
              <w:jc w:val="both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El docente suministra un clip de video (3–5 segundos, resolución 720p/1080p a 30 fps) o imagen estática. Se activa un canvas off-screen en memoria volátil HTML5 con muestreo adaptativo de 12 a 24 ventanas temporales para detectar el gatillo cinemático del ejercicio (trigger pose) y aislar los 8 fotogramas de máxima significancia motriz.</w:t>
            </w:r>
          </w:p>
        </w:tc>
      </w:tr>
      <w:tr>
        <w:tc>
          <w:tcPr>
            <w:tcW w:w="255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04A3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Etapa 2: Extracción Local de Landmarks (MediaPipe WASM · 450 ms)</w:t>
            </w:r>
          </w:p>
        </w:tc>
        <w:tc>
          <w:tcPr>
            <w:tcW w:w="742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8BFB2">
            <w:pPr>
              <w:spacing w:after="0"/>
              <w:jc w:val="both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El motor PoseLandmarker Lite (modelo float16 de 4.2 MB) compila en el runtime WebAssembly del cliente con aceleración WebGL/CPU. Detecta 33 coordenadas tridimensionales (x, y, z) + visibilidad por fotograma en un tiempo medio acumulado de 450 ms. Se extraen ángulos articulares (rodilla, codo, cadera, inclinación de tronco respecto a la vertical y simetría bilateral).</w:t>
            </w:r>
          </w:p>
        </w:tc>
      </w:tr>
      <w:tr>
        <w:tc>
          <w:tcPr>
            <w:tcW w:w="255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D3C5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Etapa 3: Ensamblaje del Prompt Multimodal Estructurado</w:t>
            </w:r>
          </w:p>
        </w:tc>
        <w:tc>
          <w:tcPr>
            <w:tcW w:w="742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74611">
            <w:pPr>
              <w:spacing w:after="0"/>
              <w:jc w:val="both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Se condensan las series de tiempo cinemáticas en un vector de telemetría agregada (`minKneeAngle`, `avgElbowAngle`, `avgTrunkAngle`, `maxHipAngle`, `flightDetected`, `symmetryScore`). Este vector se serializa junto con los 8 fotogramas codificados en JPEG base64 dentro de un esquema JSON estricto (JSON Schema) que restringe las respuestas a formatos tabulares validados.</w:t>
            </w:r>
          </w:p>
        </w:tc>
      </w:tr>
      <w:tr>
        <w:tc>
          <w:tcPr>
            <w:tcW w:w="255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14FD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Etapa 4: Inferencia en la API Gemini Vision (4.2 s) + Fallback Determinista</w:t>
            </w:r>
          </w:p>
        </w:tc>
        <w:tc>
          <w:tcPr>
            <w:tcW w:w="742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8F1F2">
            <w:pPr>
              <w:spacing w:after="0"/>
              <w:jc w:val="both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La llamada HTTP POST asíncrona viaja a los endpoints de Google AI Studio / Vertex AI (Gemini 1.5 Flash / 2.0 Flash). El modelo procesa la visión computacional y contrasta los ángulos con los criterios de Gallahue en ~4.2 segundos. Si se produce desconexión de red, agotamiento de cuota (HTTP 429) o latencia &gt; 8s, el sistema activa automáticamente el Motor FSM Local determinista en JavaScript/Python, garantizando 100% de disponibilidad sin interrupción de la clase.</w:t>
            </w:r>
          </w:p>
        </w:tc>
      </w:tr>
      <w:tr>
        <w:tc>
          <w:tcPr>
            <w:tcW w:w="255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07A4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Etapa 5: Ensamblador Local de Documentos Curriculares (.docx)</w:t>
            </w:r>
          </w:p>
        </w:tc>
        <w:tc>
          <w:tcPr>
            <w:tcW w:w="742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78C66">
            <w:pPr>
              <w:spacing w:after="0"/>
              <w:jc w:val="both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Los objetos JSON resultantes (Diagnóstico individual y Secuencia Didáctica de 12 clases) ingresan al generador cliente/servidor. Se inyectan en plantillas con estilos tipográficos oficiales del MEN, tablas comparativas, tiras de fotogramas con el esqueleto trazado y firmas digitales, exportando en formato editable sin dependencias de suites ofimáticas propietarias.</w:t>
            </w:r>
          </w:p>
        </w:tc>
      </w:tr>
    </w:tbl>
    <w:p w14:paraId="32463CD8">
      <w:pPr>
        <w:spacing w:after="120"/>
      </w:pPr>
    </w:p>
    <w:p w14:paraId="71F8A900">
      <w:pPr>
        <w:pStyle w:val="Heading1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A508C"/>
          <w:sz w:val="25"/>
          <w:szCs w:val="28"/>
        </w:rPr>
        <w:t>2. Diagrama de Secuencia y Flujo de Control</w:t>
      </w:r>
    </w:p>
    <w:p w14:paraId="7C3A037E">
      <w:pPr>
        <w:spacing w:after="80" w:line="276" w:lineRule="auto"/>
      </w:pPr>
      <w:r>
        <w:rPr>
          <w:rFonts w:ascii="Calibri" w:hAnsi="Calibri" w:eastAsia="ＭＳ 明朝" w:cs="Calibri" w:eastAsiaTheme="minorEastAsia" w:csTheme="minorBidi"/>
          <w:color w:val="1E293B"/>
          <w:sz w:val="20"/>
          <w:szCs w:val="22"/>
        </w:rPr>
        <w:t>A continuación se presenta la matriz de flujo interactivo entre los componentes del ecosistema AulaGlobal360: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324"/>
        <w:gridCol w:w="3324"/>
        <w:gridCol w:w="3324"/>
      </w:tblGrid>
      <w:tr>
        <w:tc>
          <w:tcPr>
            <w:tcW w:w="2268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1A8F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CAPA / ACTOR</w:t>
            </w:r>
          </w:p>
        </w:tc>
        <w:tc>
          <w:tcPr>
            <w:tcW w:w="2551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E65A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COMPONENTE TÉCNICO</w:t>
            </w:r>
          </w:p>
        </w:tc>
        <w:tc>
          <w:tcPr>
            <w:tcW w:w="5153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AA04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RESPONSABILIDAD EN EL PIPELINE</w:t>
            </w:r>
          </w:p>
        </w:tc>
      </w:tr>
      <w:tr>
        <w:tc>
          <w:tcPr>
            <w:tcW w:w="2268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0E63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Navegador Docente</w:t>
            </w:r>
          </w:p>
        </w:tc>
        <w:tc>
          <w:tcPr>
            <w:tcW w:w="255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2AF1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HTML5 Video / Canvas</w:t>
            </w:r>
          </w:p>
        </w:tc>
        <w:tc>
          <w:tcPr>
            <w:tcW w:w="5153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263B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Captura de clip (3-5 s), detección de movimiento y selección de 8 keyframes.</w:t>
            </w:r>
          </w:p>
        </w:tc>
      </w:tr>
      <w:tr>
        <w:tc>
          <w:tcPr>
            <w:tcW w:w="2268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0472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Runtime WASM</w:t>
            </w:r>
          </w:p>
        </w:tc>
        <w:tc>
          <w:tcPr>
            <w:tcW w:w="255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D587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MediaPipe PoseLandmarker</w:t>
            </w:r>
          </w:p>
        </w:tc>
        <w:tc>
          <w:tcPr>
            <w:tcW w:w="5153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C347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Inferencia de 33 landmarks corporales en espacio cartesiano normalizado [0.0, 1.0].</w:t>
            </w:r>
          </w:p>
        </w:tc>
      </w:tr>
      <w:tr>
        <w:tc>
          <w:tcPr>
            <w:tcW w:w="2268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5633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Módulo Biomecánico</w:t>
            </w:r>
          </w:p>
        </w:tc>
        <w:tc>
          <w:tcPr>
            <w:tcW w:w="255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6612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Motor Cinemático Local</w:t>
            </w:r>
          </w:p>
        </w:tc>
        <w:tc>
          <w:tcPr>
            <w:tcW w:w="5153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4C76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Cálculo de cosenos directores, ángulos articulares y clasificación de HMB si está en 'Auto'.</w:t>
            </w:r>
          </w:p>
        </w:tc>
      </w:tr>
      <w:tr>
        <w:tc>
          <w:tcPr>
            <w:tcW w:w="2268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D63C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Orquestador IA</w:t>
            </w:r>
          </w:p>
        </w:tc>
        <w:tc>
          <w:tcPr>
            <w:tcW w:w="255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8253B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API Google Gemini</w:t>
            </w:r>
          </w:p>
        </w:tc>
        <w:tc>
          <w:tcPr>
            <w:tcW w:w="5153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FE91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Envío de payload JSON + imágenes en paralelo. Recepción de diagnóstico pedagógico.</w:t>
            </w:r>
          </w:p>
        </w:tc>
      </w:tr>
      <w:tr>
        <w:tc>
          <w:tcPr>
            <w:tcW w:w="2268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394D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Fallback Watchdog</w:t>
            </w:r>
          </w:p>
        </w:tc>
        <w:tc>
          <w:tcPr>
            <w:tcW w:w="255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D118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FSM Determinista Local</w:t>
            </w:r>
          </w:p>
        </w:tc>
        <w:tc>
          <w:tcPr>
            <w:tcW w:w="5153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B1D2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Supervisión de latencia. Si falla Gemini, ejecuta las 45 reglas de Dialnet 7925607 en el cliente.</w:t>
            </w:r>
          </w:p>
        </w:tc>
      </w:tr>
      <w:tr>
        <w:tc>
          <w:tcPr>
            <w:tcW w:w="2268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BC3A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Motor de Planeación</w:t>
            </w:r>
          </w:p>
        </w:tc>
        <w:tc>
          <w:tcPr>
            <w:tcW w:w="255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E87A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Algoritmo Heurístico</w:t>
            </w:r>
          </w:p>
        </w:tc>
        <w:tc>
          <w:tcPr>
            <w:tcW w:w="5153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5193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Priorización de falencias motrices: antepone la sesión «🎯 Refuerzo Dirigido Biomecánico».</w:t>
            </w:r>
          </w:p>
        </w:tc>
      </w:tr>
      <w:tr>
        <w:tc>
          <w:tcPr>
            <w:tcW w:w="2268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2F85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Ensamblador DOCX</w:t>
            </w:r>
          </w:p>
        </w:tc>
        <w:tc>
          <w:tcPr>
            <w:tcW w:w="255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4364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python-docx / Client Engine</w:t>
            </w:r>
          </w:p>
        </w:tc>
        <w:tc>
          <w:tcPr>
            <w:tcW w:w="5153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95E3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Compilación de informe biomecánico individual y matriz de unidad de 12 sesiones.</w:t>
            </w:r>
          </w:p>
        </w:tc>
      </w:tr>
    </w:tbl>
    <w:p w14:paraId="5666067A">
      <w:pPr>
        <w:spacing w:after="120"/>
      </w:pPr>
    </w:p>
    <w:p w14:paraId="52D72E24">
      <w:pPr>
        <w:pStyle w:val="Heading1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A508C"/>
          <w:sz w:val="25"/>
          <w:szCs w:val="28"/>
        </w:rPr>
        <w:t>3. Tabla Comparativa de Rendimiento: Motor Local vs. Inferencia Gemini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324"/>
        <w:gridCol w:w="3324"/>
        <w:gridCol w:w="3324"/>
      </w:tblGrid>
      <w:tr>
        <w:tc>
          <w:tcPr>
            <w:tcW w:w="2835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46FC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MÉTRICA / ATRIBUTO</w:t>
            </w:r>
          </w:p>
        </w:tc>
        <w:tc>
          <w:tcPr>
            <w:tcW w:w="3566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49BD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MOTOR LOCAL (MEDIAPIPE WASM)</w:t>
            </w:r>
          </w:p>
        </w:tc>
        <w:tc>
          <w:tcPr>
            <w:tcW w:w="3572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1A1A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MOTOR MULTIMODAL (GEMINI VISION)</w:t>
            </w:r>
          </w:p>
        </w:tc>
      </w:tr>
      <w:tr>
        <w:tc>
          <w:tcPr>
            <w:tcW w:w="283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F29F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Latencia de respuesta</w:t>
            </w:r>
          </w:p>
        </w:tc>
        <w:tc>
          <w:tcPr>
            <w:tcW w:w="3566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0E77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350 ms – 500 ms (Promedio 450 ms)</w:t>
            </w:r>
          </w:p>
        </w:tc>
        <w:tc>
          <w:tcPr>
            <w:tcW w:w="3572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7606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3.8 s – 4.8 s (Promedio 4.2 s)</w:t>
            </w:r>
          </w:p>
        </w:tc>
      </w:tr>
      <w:tr>
        <w:tc>
          <w:tcPr>
            <w:tcW w:w="283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2352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Dependencia de conexión a Internet</w:t>
            </w:r>
          </w:p>
        </w:tc>
        <w:tc>
          <w:tcPr>
            <w:tcW w:w="3566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1433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0% (Completamente offline tras carga inicial de caché)</w:t>
            </w:r>
          </w:p>
        </w:tc>
        <w:tc>
          <w:tcPr>
            <w:tcW w:w="3572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0C0A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100% (Requiere enlace HTTPS saliente a Google)</w:t>
            </w:r>
          </w:p>
        </w:tc>
      </w:tr>
      <w:tr>
        <w:tc>
          <w:tcPr>
            <w:tcW w:w="283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4A2A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Consumo de ancho de banda</w:t>
            </w:r>
          </w:p>
        </w:tc>
        <w:tc>
          <w:tcPr>
            <w:tcW w:w="3566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AF32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0 KB (Datos retenidos en memoria RAM del navegador)</w:t>
            </w:r>
          </w:p>
        </w:tc>
        <w:tc>
          <w:tcPr>
            <w:tcW w:w="3572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19EF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~220 KB por análisis (8 JPEGs comprimidos + JSON)</w:t>
            </w:r>
          </w:p>
        </w:tc>
      </w:tr>
      <w:tr>
        <w:tc>
          <w:tcPr>
            <w:tcW w:w="283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CF0C7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Privacidad y protección de datos</w:t>
            </w:r>
          </w:p>
        </w:tc>
        <w:tc>
          <w:tcPr>
            <w:tcW w:w="3566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A31F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Máxima: Ninguna imagen o video viaja a servidores</w:t>
            </w:r>
          </w:p>
        </w:tc>
        <w:tc>
          <w:tcPr>
            <w:tcW w:w="3572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E7B0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Alta: Se envían fotogramas sin metadatos del estudiante</w:t>
            </w:r>
          </w:p>
        </w:tc>
      </w:tr>
      <w:tr>
        <w:tc>
          <w:tcPr>
            <w:tcW w:w="283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9E48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Costo por evaluación</w:t>
            </w:r>
          </w:p>
        </w:tc>
        <w:tc>
          <w:tcPr>
            <w:tcW w:w="3566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17FA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$0.00 USD (Cómputo en el dispositivo del usuario)</w:t>
            </w:r>
          </w:p>
        </w:tc>
        <w:tc>
          <w:tcPr>
            <w:tcW w:w="3572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08EC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$0.00 USD (Tier gratuito Gemini) / &lt; $0.001 USD (Pay-as-you-go)</w:t>
            </w:r>
          </w:p>
        </w:tc>
      </w:tr>
      <w:tr>
        <w:tc>
          <w:tcPr>
            <w:tcW w:w="283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4E02B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Calidad pedagógica de retroalimentación</w:t>
            </w:r>
          </w:p>
        </w:tc>
        <w:tc>
          <w:tcPr>
            <w:tcW w:w="3566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9C1A7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Reglas sintéticas deterministas predefinidas</w:t>
            </w:r>
          </w:p>
        </w:tc>
        <w:tc>
          <w:tcPr>
            <w:tcW w:w="3572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9212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Lenguaje natural contextualizado, empático y adaptativo</w:t>
            </w:r>
          </w:p>
        </w:tc>
      </w:tr>
      <w:tr>
        <w:tc>
          <w:tcPr>
            <w:tcW w:w="283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B866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Manejo de oclusiones y ruido en cámara</w:t>
            </w:r>
          </w:p>
        </w:tc>
        <w:tc>
          <w:tcPr>
            <w:tcW w:w="3566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B70D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Rígido (Aplica umbral estricto sobre coordenadas)</w:t>
            </w:r>
          </w:p>
        </w:tc>
        <w:tc>
          <w:tcPr>
            <w:tcW w:w="3572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3409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Semántico (Gemini interpreta el contexto corporal global)</w:t>
            </w:r>
          </w:p>
        </w:tc>
      </w:tr>
    </w:tbl>
    <w:p w14:paraId="74BF4851">
      <w:pPr>
        <w:spacing w:after="120"/>
      </w:pPr>
    </w:p>
    <w:p w14:paraId="4622E136">
      <w:pPr>
        <w:pStyle w:val="Heading1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A508C"/>
          <w:sz w:val="25"/>
          <w:szCs w:val="28"/>
        </w:rPr>
        <w:t>4. Protocolo de Resiliencia y Fallback</w:t>
      </w:r>
    </w:p>
    <w:p w14:paraId="11C1D346">
      <w:pPr>
        <w:spacing w:after="80" w:line="276" w:lineRule="auto"/>
      </w:pPr>
      <w:r>
        <w:rPr>
          <w:rFonts w:ascii="Calibri" w:hAnsi="Calibri" w:eastAsia="ＭＳ 明朝" w:cs="Calibri" w:eastAsiaTheme="minorEastAsia" w:csTheme="minorBidi"/>
          <w:color w:val="1E293B"/>
          <w:sz w:val="20"/>
          <w:szCs w:val="22"/>
        </w:rPr>
        <w:t>Para garantizar la continuidad operativa en escuelas rurales o con conectividad inestable, el sistema implementa una compuerta lógica `try-catch` con degradación elegante. Si la promesa de `callGeminiVision` no responde en 8000 ms o devuelve códigos de error HTTP 401, 403 o 429, el orquestador conmuta en 0 ms al `runLocalBiomechanicalEngine`, asegurando que el docente siempre obtenga su informe y su planeación didáctica en el acto.</w:t>
      </w:r>
    </w:p>
    <w:sectPr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jc w:val="center"/>
    </w:pPr>
    <w:r>
      <w:rPr>
        <w:color w:val="94A3B8"/>
        <w:sz w:val="16"/>
      </w:rPr>
      <w:t>Anexo C.1 · Arquitectura Híbrida y Pipeline · Evidencias Técnicas y Pedagógicas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Header"/>
      <w:jc w:val="right"/>
    </w:pPr>
    <w:r>
      <w:rPr>
        <w:color w:val="94A3B8"/>
        <w:sz w:val="17"/>
      </w:rPr>
      <w:t>AULA GLOBAL 360 · Sistema Inteligente de Evaluación Biomecánica y Curricular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2026-10-26T23:52:19.598Z</dcterms:modified>
  <cp:category/>
</cp:coreProperties>
</file>