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 mc:Ignorable="w14 w15 w16se w16cid w16 w16cex w16sdtdh wp14">
  <w:body>
    <w:p w14:paraId="075E86F2">
      <w:pPr>
        <w:spacing w:before="80" w:after="40"/>
        <w:jc w:val="left"/>
      </w:pPr>
      <w:r>
        <w:rPr>
          <w:rFonts w:ascii="Calibri" w:hAnsi="Calibri" w:eastAsia="ＭＳ 明朝" w:cs="Calibri" w:eastAsiaTheme="minorEastAsia" w:csTheme="minorBidi"/>
          <w:b/>
          <w:bCs/>
          <w:color w:val="0284C7"/>
          <w:sz w:val="22"/>
          <w:szCs w:val="22"/>
        </w:rPr>
        <w:t>ANEXO C.3</w:t>
      </w:r>
    </w:p>
    <w:p w14:paraId="75197ED7">
      <w:pPr>
        <w:spacing w:after="60"/>
      </w:pPr>
      <w:r>
        <w:rPr>
          <w:rFonts w:ascii="Calibri" w:hAnsi="Calibri" w:eastAsia="ＭＳ 明朝" w:cs="Calibri" w:eastAsiaTheme="minorEastAsia" w:csTheme="minorBidi"/>
          <w:b/>
          <w:bCs/>
          <w:color w:val="0A508C"/>
          <w:sz w:val="34"/>
          <w:szCs w:val="22"/>
        </w:rPr>
        <w:t>Ficha Técnica de Despliegue en la Nube (Google Cloud Run)</w:t>
      </w:r>
    </w:p>
    <w:p w14:paraId="10C1A3C4">
      <w:pPr>
        <w:spacing w:after="200"/>
      </w:pPr>
      <w:r>
        <w:rPr>
          <w:rFonts w:ascii="Calibri" w:hAnsi="Calibri" w:eastAsia="ＭＳ 明朝" w:cs="Calibri" w:eastAsiaTheme="minorEastAsia" w:csTheme="minorBidi"/>
          <w:i/>
          <w:iCs/>
          <w:color w:val="475569"/>
          <w:sz w:val="21"/>
          <w:szCs w:val="22"/>
        </w:rPr>
        <w:t>Especificaciones del contenedor Docker, arquitectura serverless de contenedores, asignación de memoria volátil, variables de entorno, seguridad HTTPS y políticas de autoescalado en us-central1.</w:t>
      </w:r>
    </w:p>
    <w:tbl>
      <w:tblPr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9972"/>
      </w:tblGrid>
      <w:tr>
        <w:tc>
          <w:tcPr>
            <w:tcW w:w="9972" w:type="dxa"/>
            <w:shd w:val="clear" w:fill="0A508C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403D104B">
            <w:pPr>
              <w:spacing w:after="0"/>
            </w:pPr>
          </w:p>
        </w:tc>
      </w:tr>
    </w:tbl>
    <w:p w14:paraId="03199CA7">
      <w:pPr>
        <w:spacing w:after="120"/>
      </w:pPr>
    </w:p>
    <w:tbl>
      <w:tblPr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9972"/>
      </w:tblGrid>
      <w:tr>
        <w:tc>
          <w:tcPr>
            <w:tcW w:w="9972" w:type="dxa"/>
            <w:shd w:val="clear" w:fill="E0F2FE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880D9B7">
            <w:pPr>
              <w:spacing w:after="40"/>
            </w:pPr>
            <w:r>
              <w:rPr>
                <w:rFonts w:ascii="Calibri" w:hAnsi="Calibri" w:eastAsia="ＭＳ 明朝" w:cs="Calibri" w:eastAsiaTheme="minorEastAsia" w:csTheme="minorBidi"/>
                <w:b/>
                <w:bCs/>
                <w:color w:val="0A508C"/>
                <w:sz w:val="20"/>
                <w:szCs w:val="22"/>
              </w:rPr>
              <w:t>📌 INFRAESTRUCTURA SERVERLESS DE ALTO RENDIMIENTO</w:t>
            </w:r>
            <w:r>
              <w:br w:type="textWrapping"/>
            </w:r>
            <w:r>
              <w:rPr>
                <w:rFonts w:ascii="Calibri" w:hAnsi="Calibri" w:eastAsia="ＭＳ 明朝" w:cs="Calibri" w:eastAsiaTheme="minorEastAsia" w:csTheme="minorBidi"/>
                <w:color w:val="0F172A"/>
                <w:sz w:val="19"/>
                <w:szCs w:val="22"/>
              </w:rPr>
              <w:t>La arquitectura backend de AulaGlobal360 opera bajo un modelo de Contenedores como Servicio (CaaS) sobre Google Cloud Run (us-central1). Permite escalar automáticamente de 0 a N instancias en respuesta al tráfico escolar matutino, garantizando costo $0 en horarios nocturnos. Los cómputos de visión se ejecutan en microcontenedores optimizados de Python 3.12-slim con dependencias nativas C++ de MediaPipe, OpenCV y aceleración multicapa de Gunicorn.</w:t>
            </w:r>
          </w:p>
        </w:tc>
      </w:tr>
    </w:tbl>
    <w:p w14:paraId="6A7236E3">
      <w:pPr>
        <w:spacing w:after="60"/>
      </w:pPr>
    </w:p>
    <w:p w14:paraId="124FD7C1">
      <w:pPr>
        <w:pStyle w:val="Heading1"/>
        <w:spacing w:before="200" w:after="60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0A508C"/>
          <w:sz w:val="25"/>
          <w:szCs w:val="28"/>
        </w:rPr>
        <w:t>1. Especificación del Contenedor Docker (Dockerfile)</w:t>
      </w:r>
    </w:p>
    <w:tbl>
      <w:tblPr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3324"/>
        <w:gridCol w:w="3324"/>
        <w:gridCol w:w="3324"/>
      </w:tblGrid>
      <w:tr>
        <w:tc>
          <w:tcPr>
            <w:tcW w:w="2381" w:type="dxa"/>
            <w:shd w:val="clear" w:fill="0A50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91963A">
            <w:pPr>
              <w:spacing w:after="0"/>
              <w:jc w:val="center"/>
            </w:pPr>
            <w:r>
              <w:rPr>
                <w:rFonts w:ascii="Calibri" w:hAnsi="Calibri" w:eastAsia="ＭＳ 明朝" w:cs="Calibri" w:eastAsiaTheme="minorEastAsia" w:csTheme="minorBidi"/>
                <w:b/>
                <w:bCs/>
                <w:color w:val="FFFFFF"/>
                <w:sz w:val="18"/>
                <w:szCs w:val="22"/>
              </w:rPr>
              <w:t>PARÁMETRO DOCKER</w:t>
            </w:r>
          </w:p>
        </w:tc>
        <w:tc>
          <w:tcPr>
            <w:tcW w:w="2551" w:type="dxa"/>
            <w:shd w:val="clear" w:fill="0A50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E5811F">
            <w:pPr>
              <w:spacing w:after="0"/>
              <w:jc w:val="center"/>
            </w:pPr>
            <w:r>
              <w:rPr>
                <w:rFonts w:ascii="Calibri" w:hAnsi="Calibri" w:eastAsia="ＭＳ 明朝" w:cs="Calibri" w:eastAsiaTheme="minorEastAsia" w:csTheme="minorBidi"/>
                <w:b/>
                <w:bCs/>
                <w:color w:val="FFFFFF"/>
                <w:sz w:val="18"/>
                <w:szCs w:val="22"/>
              </w:rPr>
              <w:t>VALOR / VERSIÓN</w:t>
            </w:r>
          </w:p>
        </w:tc>
        <w:tc>
          <w:tcPr>
            <w:tcW w:w="5040" w:type="dxa"/>
            <w:shd w:val="clear" w:fill="0A50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7CF804">
            <w:pPr>
              <w:spacing w:after="0"/>
              <w:jc w:val="center"/>
            </w:pPr>
            <w:r>
              <w:rPr>
                <w:rFonts w:ascii="Calibri" w:hAnsi="Calibri" w:eastAsia="ＭＳ 明朝" w:cs="Calibri" w:eastAsiaTheme="minorEastAsia" w:csTheme="minorBidi"/>
                <w:b/>
                <w:bCs/>
                <w:color w:val="FFFFFF"/>
                <w:sz w:val="18"/>
                <w:szCs w:val="22"/>
              </w:rPr>
              <w:t>JUSTIFICACIÓN TÉCNICA Y OPERATIVA</w:t>
            </w:r>
          </w:p>
        </w:tc>
      </w:tr>
      <w:tr>
        <w:tc>
          <w:tcPr>
            <w:tcW w:w="2381" w:type="dxa"/>
            <w:shd w:val="clear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5A1ACF">
            <w:pPr>
              <w:spacing w:after="0"/>
              <w:jc w:val="left"/>
            </w:pPr>
            <w:r>
              <w:rPr>
                <w:rFonts w:ascii="Calibri" w:hAnsi="Calibri" w:eastAsia="ＭＳ 明朝" w:cs="Calibri" w:eastAsiaTheme="minorEastAsia" w:csTheme="minorBidi"/>
                <w:color w:val="1E293B"/>
                <w:sz w:val="17"/>
                <w:szCs w:val="22"/>
              </w:rPr>
              <w:t>Imagen Base</w:t>
            </w:r>
          </w:p>
        </w:tc>
        <w:tc>
          <w:tcPr>
            <w:tcW w:w="2551" w:type="dxa"/>
            <w:shd w:val="clear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7F09A6">
            <w:pPr>
              <w:spacing w:after="0"/>
              <w:jc w:val="left"/>
            </w:pPr>
            <w:r>
              <w:rPr>
                <w:rFonts w:ascii="Calibri" w:hAnsi="Calibri" w:eastAsia="ＭＳ 明朝" w:cs="Calibri" w:eastAsiaTheme="minorEastAsia" w:csTheme="minorBidi"/>
                <w:color w:val="1E293B"/>
                <w:sz w:val="17"/>
                <w:szCs w:val="22"/>
              </w:rPr>
              <w:t>python:3.12-slim</w:t>
            </w:r>
          </w:p>
        </w:tc>
        <w:tc>
          <w:tcPr>
            <w:tcW w:w="5040" w:type="dxa"/>
            <w:shd w:val="clear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815B5E">
            <w:pPr>
              <w:spacing w:after="0"/>
              <w:jc w:val="left"/>
            </w:pPr>
            <w:r>
              <w:rPr>
                <w:rFonts w:ascii="Calibri" w:hAnsi="Calibri" w:eastAsia="ＭＳ 明朝" w:cs="Calibri" w:eastAsiaTheme="minorEastAsia" w:csTheme="minorBidi"/>
                <w:color w:val="1E293B"/>
                <w:sz w:val="17"/>
                <w:szCs w:val="22"/>
              </w:rPr>
              <w:t>Distribución Debian Bookworm ultra liviana (~140 MB base) sin sobrecarga de GUI.</w:t>
            </w:r>
          </w:p>
        </w:tc>
      </w:tr>
      <w:tr>
        <w:tc>
          <w:tcPr>
            <w:tcW w:w="2381" w:type="dxa"/>
            <w:shd w:val="clear" w:fill="F8FA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F1E2C1">
            <w:pPr>
              <w:spacing w:after="0"/>
              <w:jc w:val="left"/>
            </w:pPr>
            <w:r>
              <w:rPr>
                <w:rFonts w:ascii="Calibri" w:hAnsi="Calibri" w:eastAsia="ＭＳ 明朝" w:cs="Calibri" w:eastAsiaTheme="minorEastAsia" w:csTheme="minorBidi"/>
                <w:color w:val="1E293B"/>
                <w:sz w:val="17"/>
                <w:szCs w:val="22"/>
              </w:rPr>
              <w:t>Dependencias del Sistema Operativo</w:t>
            </w:r>
          </w:p>
        </w:tc>
        <w:tc>
          <w:tcPr>
            <w:tcW w:w="2551" w:type="dxa"/>
            <w:shd w:val="clear" w:fill="F8FA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95B72B">
            <w:pPr>
              <w:spacing w:after="0"/>
              <w:jc w:val="left"/>
            </w:pPr>
            <w:r>
              <w:rPr>
                <w:rFonts w:ascii="Calibri" w:hAnsi="Calibri" w:eastAsia="ＭＳ 明朝" w:cs="Calibri" w:eastAsiaTheme="minorEastAsia" w:csTheme="minorBidi"/>
                <w:color w:val="1E293B"/>
                <w:sz w:val="17"/>
                <w:szCs w:val="22"/>
              </w:rPr>
              <w:t>libgl1, libglib2.0-0, libegl1, libgles2, ffmpeg</w:t>
            </w:r>
          </w:p>
        </w:tc>
        <w:tc>
          <w:tcPr>
            <w:tcW w:w="5040" w:type="dxa"/>
            <w:shd w:val="clear" w:fill="F8FA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879371">
            <w:pPr>
              <w:spacing w:after="0"/>
              <w:jc w:val="left"/>
            </w:pPr>
            <w:r>
              <w:rPr>
                <w:rFonts w:ascii="Calibri" w:hAnsi="Calibri" w:eastAsia="ＭＳ 明朝" w:cs="Calibri" w:eastAsiaTheme="minorEastAsia" w:csTheme="minorBidi"/>
                <w:color w:val="1E293B"/>
                <w:sz w:val="17"/>
                <w:szCs w:val="22"/>
              </w:rPr>
              <w:t>Bibliotecas C/C++ indispensables para decodificación de códecs de video MP4/WebM y renderizado headless de OpenCV/MediaPipe.</w:t>
            </w:r>
          </w:p>
        </w:tc>
      </w:tr>
      <w:tr>
        <w:tc>
          <w:tcPr>
            <w:tcW w:w="2381" w:type="dxa"/>
            <w:shd w:val="clear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95594E">
            <w:pPr>
              <w:spacing w:after="0"/>
              <w:jc w:val="left"/>
            </w:pPr>
            <w:r>
              <w:rPr>
                <w:rFonts w:ascii="Calibri" w:hAnsi="Calibri" w:eastAsia="ＭＳ 明朝" w:cs="Calibri" w:eastAsiaTheme="minorEastAsia" w:csTheme="minorBidi"/>
                <w:color w:val="1E293B"/>
                <w:sz w:val="17"/>
                <w:szCs w:val="22"/>
              </w:rPr>
              <w:t>Gestor de Procesos WSGI</w:t>
            </w:r>
          </w:p>
        </w:tc>
        <w:tc>
          <w:tcPr>
            <w:tcW w:w="2551" w:type="dxa"/>
            <w:shd w:val="clear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F67DD2">
            <w:pPr>
              <w:spacing w:after="0"/>
              <w:jc w:val="left"/>
            </w:pPr>
            <w:r>
              <w:rPr>
                <w:rFonts w:ascii="Calibri" w:hAnsi="Calibri" w:eastAsia="ＭＳ 明朝" w:cs="Calibri" w:eastAsiaTheme="minorEastAsia" w:csTheme="minorBidi"/>
                <w:color w:val="1E293B"/>
                <w:sz w:val="17"/>
                <w:szCs w:val="22"/>
              </w:rPr>
              <w:t>Gunicorn 23.0 + Uvicorn Worker</w:t>
            </w:r>
          </w:p>
        </w:tc>
        <w:tc>
          <w:tcPr>
            <w:tcW w:w="5040" w:type="dxa"/>
            <w:shd w:val="clear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3EEB3C">
            <w:pPr>
              <w:spacing w:after="0"/>
              <w:jc w:val="left"/>
            </w:pPr>
            <w:r>
              <w:rPr>
                <w:rFonts w:ascii="Calibri" w:hAnsi="Calibri" w:eastAsia="ＭＳ 明朝" w:cs="Calibri" w:eastAsiaTheme="minorEastAsia" w:csTheme="minorBidi"/>
                <w:color w:val="1E293B"/>
                <w:sz w:val="17"/>
                <w:szCs w:val="22"/>
              </w:rPr>
              <w:t>Servidor WSGI para producción con 3 workers concurrentes y timeout extendido de 120 s para procesamiento intensivo de video.</w:t>
            </w:r>
          </w:p>
        </w:tc>
      </w:tr>
      <w:tr>
        <w:tc>
          <w:tcPr>
            <w:tcW w:w="2381" w:type="dxa"/>
            <w:shd w:val="clear" w:fill="F8FA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42168B7">
            <w:pPr>
              <w:spacing w:after="0"/>
              <w:jc w:val="left"/>
            </w:pPr>
            <w:r>
              <w:rPr>
                <w:rFonts w:ascii="Calibri" w:hAnsi="Calibri" w:eastAsia="ＭＳ 明朝" w:cs="Calibri" w:eastAsiaTheme="minorEastAsia" w:csTheme="minorBidi"/>
                <w:color w:val="1E293B"/>
                <w:sz w:val="17"/>
                <w:szCs w:val="22"/>
              </w:rPr>
              <w:t>Seguridad del Contenedor</w:t>
            </w:r>
          </w:p>
        </w:tc>
        <w:tc>
          <w:tcPr>
            <w:tcW w:w="2551" w:type="dxa"/>
            <w:shd w:val="clear" w:fill="F8FA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601DC2">
            <w:pPr>
              <w:spacing w:after="0"/>
              <w:jc w:val="left"/>
            </w:pPr>
            <w:r>
              <w:rPr>
                <w:rFonts w:ascii="Calibri" w:hAnsi="Calibri" w:eastAsia="ＭＳ 明朝" w:cs="Calibri" w:eastAsiaTheme="minorEastAsia" w:csTheme="minorBidi"/>
                <w:color w:val="1E293B"/>
                <w:sz w:val="17"/>
                <w:szCs w:val="22"/>
              </w:rPr>
              <w:t>Usuario no privilegiado `aula` (UID 1001)</w:t>
            </w:r>
          </w:p>
        </w:tc>
        <w:tc>
          <w:tcPr>
            <w:tcW w:w="5040" w:type="dxa"/>
            <w:shd w:val="clear" w:fill="F8FA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283BD8">
            <w:pPr>
              <w:spacing w:after="0"/>
              <w:jc w:val="left"/>
            </w:pPr>
            <w:r>
              <w:rPr>
                <w:rFonts w:ascii="Calibri" w:hAnsi="Calibri" w:eastAsia="ＭＳ 明朝" w:cs="Calibri" w:eastAsiaTheme="minorEastAsia" w:csTheme="minorBidi"/>
                <w:color w:val="1E293B"/>
                <w:sz w:val="17"/>
                <w:szCs w:val="22"/>
              </w:rPr>
              <w:t>No-root container execution para impedir escalamiento de privilegios en el kernel host.</w:t>
            </w:r>
          </w:p>
        </w:tc>
      </w:tr>
      <w:tr>
        <w:tc>
          <w:tcPr>
            <w:tcW w:w="2381" w:type="dxa"/>
            <w:shd w:val="clear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87DA2E">
            <w:pPr>
              <w:spacing w:after="0"/>
              <w:jc w:val="left"/>
            </w:pPr>
            <w:r>
              <w:rPr>
                <w:rFonts w:ascii="Calibri" w:hAnsi="Calibri" w:eastAsia="ＭＳ 明朝" w:cs="Calibri" w:eastAsiaTheme="minorEastAsia" w:csTheme="minorBidi"/>
                <w:color w:val="1E293B"/>
                <w:sz w:val="17"/>
                <w:szCs w:val="22"/>
              </w:rPr>
              <w:t>Optimización de Capas</w:t>
            </w:r>
          </w:p>
        </w:tc>
        <w:tc>
          <w:tcPr>
            <w:tcW w:w="2551" w:type="dxa"/>
            <w:shd w:val="clear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229B2E">
            <w:pPr>
              <w:spacing w:after="0"/>
              <w:jc w:val="left"/>
            </w:pPr>
            <w:r>
              <w:rPr>
                <w:rFonts w:ascii="Calibri" w:hAnsi="Calibri" w:eastAsia="ＭＳ 明朝" w:cs="Calibri" w:eastAsiaTheme="minorEastAsia" w:csTheme="minorBidi"/>
                <w:color w:val="1E293B"/>
                <w:sz w:val="17"/>
                <w:szCs w:val="22"/>
              </w:rPr>
              <w:t>Lockfile de dependencias fijadas (`requirements/lock.txt`)</w:t>
            </w:r>
          </w:p>
        </w:tc>
        <w:tc>
          <w:tcPr>
            <w:tcW w:w="5040" w:type="dxa"/>
            <w:shd w:val="clear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F22514">
            <w:pPr>
              <w:spacing w:after="0"/>
              <w:jc w:val="left"/>
            </w:pPr>
            <w:r>
              <w:rPr>
                <w:rFonts w:ascii="Calibri" w:hAnsi="Calibri" w:eastAsia="ＭＳ 明朝" w:cs="Calibri" w:eastAsiaTheme="minorEastAsia" w:csTheme="minorBidi"/>
                <w:color w:val="1E293B"/>
                <w:sz w:val="17"/>
                <w:szCs w:val="22"/>
              </w:rPr>
              <w:t>Garantiza determinismo absoluto: MediaPipe 1.0.1 y OpenCV 4.10 fijados para evitar variaciones cinemáticas entre compilaciones.</w:t>
            </w:r>
          </w:p>
        </w:tc>
      </w:tr>
    </w:tbl>
    <w:p w14:paraId="7164DD28">
      <w:pPr>
        <w:spacing w:after="120"/>
      </w:pPr>
    </w:p>
    <w:p w14:paraId="6C9ED155">
      <w:pPr>
        <w:pStyle w:val="Heading1"/>
        <w:spacing w:before="200" w:after="60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0A508C"/>
          <w:sz w:val="25"/>
          <w:szCs w:val="28"/>
        </w:rPr>
        <w:t>2. Configuración del Servicio en Google Cloud Run (us-central1)</w:t>
      </w:r>
    </w:p>
    <w:tbl>
      <w:tblPr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3324"/>
        <w:gridCol w:w="3324"/>
        <w:gridCol w:w="3324"/>
      </w:tblGrid>
      <w:tr>
        <w:tc>
          <w:tcPr>
            <w:tcW w:w="2551" w:type="dxa"/>
            <w:shd w:val="clear" w:fill="0A50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1FA5AF">
            <w:pPr>
              <w:spacing w:after="0"/>
              <w:jc w:val="center"/>
            </w:pPr>
            <w:r>
              <w:rPr>
                <w:rFonts w:ascii="Calibri" w:hAnsi="Calibri" w:eastAsia="ＭＳ 明朝" w:cs="Calibri" w:eastAsiaTheme="minorEastAsia" w:csTheme="minorBidi"/>
                <w:b/>
                <w:bCs/>
                <w:color w:val="FFFFFF"/>
                <w:sz w:val="18"/>
                <w:szCs w:val="22"/>
              </w:rPr>
              <w:t>PARÁMETRO CLOUD RUN</w:t>
            </w:r>
          </w:p>
        </w:tc>
        <w:tc>
          <w:tcPr>
            <w:tcW w:w="2551" w:type="dxa"/>
            <w:shd w:val="clear" w:fill="0A50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5D546F">
            <w:pPr>
              <w:spacing w:after="0"/>
              <w:jc w:val="center"/>
            </w:pPr>
            <w:r>
              <w:rPr>
                <w:rFonts w:ascii="Calibri" w:hAnsi="Calibri" w:eastAsia="ＭＳ 明朝" w:cs="Calibri" w:eastAsiaTheme="minorEastAsia" w:csTheme="minorBidi"/>
                <w:b/>
                <w:bCs/>
                <w:color w:val="FFFFFF"/>
                <w:sz w:val="18"/>
                <w:szCs w:val="22"/>
              </w:rPr>
              <w:t>CONFIGURACIÓN</w:t>
            </w:r>
          </w:p>
        </w:tc>
        <w:tc>
          <w:tcPr>
            <w:tcW w:w="4870" w:type="dxa"/>
            <w:shd w:val="clear" w:fill="0A50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34BB47">
            <w:pPr>
              <w:spacing w:after="0"/>
              <w:jc w:val="center"/>
            </w:pPr>
            <w:r>
              <w:rPr>
                <w:rFonts w:ascii="Calibri" w:hAnsi="Calibri" w:eastAsia="ＭＳ 明朝" w:cs="Calibri" w:eastAsiaTheme="minorEastAsia" w:csTheme="minorBidi"/>
                <w:b/>
                <w:bCs/>
                <w:color w:val="FFFFFF"/>
                <w:sz w:val="18"/>
                <w:szCs w:val="22"/>
              </w:rPr>
              <w:t>DESCRIPCIÓN DE LA POLÍTICA</w:t>
            </w:r>
          </w:p>
        </w:tc>
      </w:tr>
      <w:tr>
        <w:tc>
          <w:tcPr>
            <w:tcW w:w="2551" w:type="dxa"/>
            <w:shd w:val="clear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953891">
            <w:pPr>
              <w:spacing w:after="0"/>
              <w:jc w:val="left"/>
            </w:pPr>
            <w:r>
              <w:rPr>
                <w:rFonts w:ascii="Calibri" w:hAnsi="Calibri" w:eastAsia="ＭＳ 明朝" w:cs="Calibri" w:eastAsiaTheme="minorEastAsia" w:csTheme="minorBidi"/>
                <w:color w:val="1E293B"/>
                <w:sz w:val="17"/>
                <w:szCs w:val="22"/>
              </w:rPr>
              <w:t>Región Geográfica</w:t>
            </w:r>
          </w:p>
        </w:tc>
        <w:tc>
          <w:tcPr>
            <w:tcW w:w="2551" w:type="dxa"/>
            <w:shd w:val="clear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4608FBB">
            <w:pPr>
              <w:spacing w:after="0"/>
              <w:jc w:val="left"/>
            </w:pPr>
            <w:r>
              <w:rPr>
                <w:rFonts w:ascii="Calibri" w:hAnsi="Calibri" w:eastAsia="ＭＳ 明朝" w:cs="Calibri" w:eastAsiaTheme="minorEastAsia" w:csTheme="minorBidi"/>
                <w:color w:val="1E293B"/>
                <w:sz w:val="17"/>
                <w:szCs w:val="22"/>
              </w:rPr>
              <w:t>us-central1 (Iowa, USA)</w:t>
            </w:r>
          </w:p>
        </w:tc>
        <w:tc>
          <w:tcPr>
            <w:tcW w:w="4870" w:type="dxa"/>
            <w:shd w:val="clear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B043EB">
            <w:pPr>
              <w:spacing w:after="0"/>
              <w:jc w:val="left"/>
            </w:pPr>
            <w:r>
              <w:rPr>
                <w:rFonts w:ascii="Calibri" w:hAnsi="Calibri" w:eastAsia="ＭＳ 明朝" w:cs="Calibri" w:eastAsiaTheme="minorEastAsia" w:csTheme="minorBidi"/>
                <w:color w:val="1E293B"/>
                <w:sz w:val="17"/>
                <w:szCs w:val="22"/>
              </w:rPr>
              <w:t>Baja latencia con Colombia (~75 ms) y máxima disponibilidad de cuotas para modelos de Gemini.</w:t>
            </w:r>
          </w:p>
        </w:tc>
      </w:tr>
      <w:tr>
        <w:tc>
          <w:tcPr>
            <w:tcW w:w="2551" w:type="dxa"/>
            <w:shd w:val="clear" w:fill="F8FA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AD03C4">
            <w:pPr>
              <w:spacing w:after="0"/>
              <w:jc w:val="left"/>
            </w:pPr>
            <w:r>
              <w:rPr>
                <w:rFonts w:ascii="Calibri" w:hAnsi="Calibri" w:eastAsia="ＭＳ 明朝" w:cs="Calibri" w:eastAsiaTheme="minorEastAsia" w:csTheme="minorBidi"/>
                <w:color w:val="1E293B"/>
                <w:sz w:val="17"/>
                <w:szCs w:val="22"/>
              </w:rPr>
              <w:t>Asignación de CPU</w:t>
            </w:r>
          </w:p>
        </w:tc>
        <w:tc>
          <w:tcPr>
            <w:tcW w:w="2551" w:type="dxa"/>
            <w:shd w:val="clear" w:fill="F8FA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F21B99">
            <w:pPr>
              <w:spacing w:after="0"/>
              <w:jc w:val="left"/>
            </w:pPr>
            <w:r>
              <w:rPr>
                <w:rFonts w:ascii="Calibri" w:hAnsi="Calibri" w:eastAsia="ＭＳ 明朝" w:cs="Calibri" w:eastAsiaTheme="minorEastAsia" w:csTheme="minorBidi"/>
                <w:color w:val="1E293B"/>
                <w:sz w:val="17"/>
                <w:szCs w:val="22"/>
              </w:rPr>
              <w:t>2 vCPU Dedicadas</w:t>
            </w:r>
          </w:p>
        </w:tc>
        <w:tc>
          <w:tcPr>
            <w:tcW w:w="4870" w:type="dxa"/>
            <w:shd w:val="clear" w:fill="F8FA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378652">
            <w:pPr>
              <w:spacing w:after="0"/>
              <w:jc w:val="left"/>
            </w:pPr>
            <w:r>
              <w:rPr>
                <w:rFonts w:ascii="Calibri" w:hAnsi="Calibri" w:eastAsia="ＭＳ 明朝" w:cs="Calibri" w:eastAsiaTheme="minorEastAsia" w:csTheme="minorBidi"/>
                <w:color w:val="1E293B"/>
                <w:sz w:val="17"/>
                <w:szCs w:val="22"/>
              </w:rPr>
              <w:t>Potencia suficiente para la decodificación de fotogramas y transformaciones espaciales en CPU.</w:t>
            </w:r>
          </w:p>
        </w:tc>
      </w:tr>
      <w:tr>
        <w:tc>
          <w:tcPr>
            <w:tcW w:w="2551" w:type="dxa"/>
            <w:shd w:val="clear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D21314">
            <w:pPr>
              <w:spacing w:after="0"/>
              <w:jc w:val="left"/>
            </w:pPr>
            <w:r>
              <w:rPr>
                <w:rFonts w:ascii="Calibri" w:hAnsi="Calibri" w:eastAsia="ＭＳ 明朝" w:cs="Calibri" w:eastAsiaTheme="minorEastAsia" w:csTheme="minorBidi"/>
                <w:color w:val="1E293B"/>
                <w:sz w:val="17"/>
                <w:szCs w:val="22"/>
              </w:rPr>
              <w:t>Memoria Volátil (RAM)</w:t>
            </w:r>
          </w:p>
        </w:tc>
        <w:tc>
          <w:tcPr>
            <w:tcW w:w="2551" w:type="dxa"/>
            <w:shd w:val="clear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377A5B">
            <w:pPr>
              <w:spacing w:after="0"/>
              <w:jc w:val="left"/>
            </w:pPr>
            <w:r>
              <w:rPr>
                <w:rFonts w:ascii="Calibri" w:hAnsi="Calibri" w:eastAsia="ＭＳ 明朝" w:cs="Calibri" w:eastAsiaTheme="minorEastAsia" w:csTheme="minorBidi"/>
                <w:color w:val="1E293B"/>
                <w:sz w:val="17"/>
                <w:szCs w:val="22"/>
              </w:rPr>
              <w:t>2048 MiB (2 GiB)</w:t>
            </w:r>
          </w:p>
        </w:tc>
        <w:tc>
          <w:tcPr>
            <w:tcW w:w="4870" w:type="dxa"/>
            <w:shd w:val="clear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D63BB1">
            <w:pPr>
              <w:spacing w:after="0"/>
              <w:jc w:val="left"/>
            </w:pPr>
            <w:r>
              <w:rPr>
                <w:rFonts w:ascii="Calibri" w:hAnsi="Calibri" w:eastAsia="ＭＳ 明朝" w:cs="Calibri" w:eastAsiaTheme="minorEastAsia" w:csTheme="minorBidi"/>
                <w:color w:val="1E293B"/>
                <w:sz w:val="17"/>
                <w:szCs w:val="22"/>
              </w:rPr>
              <w:t>Soporta el footprint del modelo MediaPipe PoseLandmarker en RAM sin activación de swapping.</w:t>
            </w:r>
          </w:p>
        </w:tc>
      </w:tr>
      <w:tr>
        <w:tc>
          <w:tcPr>
            <w:tcW w:w="2551" w:type="dxa"/>
            <w:shd w:val="clear" w:fill="F8FA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4BB4318">
            <w:pPr>
              <w:spacing w:after="0"/>
              <w:jc w:val="left"/>
            </w:pPr>
            <w:r>
              <w:rPr>
                <w:rFonts w:ascii="Calibri" w:hAnsi="Calibri" w:eastAsia="ＭＳ 明朝" w:cs="Calibri" w:eastAsiaTheme="minorEastAsia" w:csTheme="minorBidi"/>
                <w:color w:val="1E293B"/>
                <w:sz w:val="17"/>
                <w:szCs w:val="22"/>
              </w:rPr>
              <w:t>Modelo de Concurrencia</w:t>
            </w:r>
          </w:p>
        </w:tc>
        <w:tc>
          <w:tcPr>
            <w:tcW w:w="2551" w:type="dxa"/>
            <w:shd w:val="clear" w:fill="F8FA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134922">
            <w:pPr>
              <w:spacing w:after="0"/>
              <w:jc w:val="left"/>
            </w:pPr>
            <w:r>
              <w:rPr>
                <w:rFonts w:ascii="Calibri" w:hAnsi="Calibri" w:eastAsia="ＭＳ 明朝" w:cs="Calibri" w:eastAsiaTheme="minorEastAsia" w:csTheme="minorBidi"/>
                <w:color w:val="1E293B"/>
                <w:sz w:val="17"/>
                <w:szCs w:val="22"/>
              </w:rPr>
              <w:t>80 solicitudes simultáneas por instancia</w:t>
            </w:r>
          </w:p>
        </w:tc>
        <w:tc>
          <w:tcPr>
            <w:tcW w:w="4870" w:type="dxa"/>
            <w:shd w:val="clear" w:fill="F8FA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B68465">
            <w:pPr>
              <w:spacing w:after="0"/>
              <w:jc w:val="left"/>
            </w:pPr>
            <w:r>
              <w:rPr>
                <w:rFonts w:ascii="Calibri" w:hAnsi="Calibri" w:eastAsia="ＭＳ 明朝" w:cs="Calibri" w:eastAsiaTheme="minorEastAsia" w:csTheme="minorBidi"/>
                <w:color w:val="1E293B"/>
                <w:sz w:val="17"/>
                <w:szCs w:val="22"/>
              </w:rPr>
              <w:t>Distribución eficiente de peticiones web y reportes antes de activar un nuevo contenedor.</w:t>
            </w:r>
          </w:p>
        </w:tc>
      </w:tr>
      <w:tr>
        <w:tc>
          <w:tcPr>
            <w:tcW w:w="2551" w:type="dxa"/>
            <w:shd w:val="clear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3AB0D5">
            <w:pPr>
              <w:spacing w:after="0"/>
              <w:jc w:val="left"/>
            </w:pPr>
            <w:r>
              <w:rPr>
                <w:rFonts w:ascii="Calibri" w:hAnsi="Calibri" w:eastAsia="ＭＳ 明朝" w:cs="Calibri" w:eastAsiaTheme="minorEastAsia" w:csTheme="minorBidi"/>
                <w:color w:val="1E293B"/>
                <w:sz w:val="17"/>
                <w:szCs w:val="22"/>
              </w:rPr>
              <w:t>Autoescalado Dinámico</w:t>
            </w:r>
          </w:p>
        </w:tc>
        <w:tc>
          <w:tcPr>
            <w:tcW w:w="2551" w:type="dxa"/>
            <w:shd w:val="clear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8D612B">
            <w:pPr>
              <w:spacing w:after="0"/>
              <w:jc w:val="left"/>
            </w:pPr>
            <w:r>
              <w:rPr>
                <w:rFonts w:ascii="Calibri" w:hAnsi="Calibri" w:eastAsia="ＭＳ 明朝" w:cs="Calibri" w:eastAsiaTheme="minorEastAsia" w:csTheme="minorBidi"/>
                <w:color w:val="1E293B"/>
                <w:sz w:val="17"/>
                <w:szCs w:val="22"/>
              </w:rPr>
              <w:t>Mínimo: 0 instancias | Máximo: 10 instancias</w:t>
            </w:r>
          </w:p>
        </w:tc>
        <w:tc>
          <w:tcPr>
            <w:tcW w:w="4870" w:type="dxa"/>
            <w:shd w:val="clear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A025E2">
            <w:pPr>
              <w:spacing w:after="0"/>
              <w:jc w:val="left"/>
            </w:pPr>
            <w:r>
              <w:rPr>
                <w:rFonts w:ascii="Calibri" w:hAnsi="Calibri" w:eastAsia="ＭＳ 明朝" w:cs="Calibri" w:eastAsiaTheme="minorEastAsia" w:csTheme="minorBidi"/>
                <w:color w:val="1E293B"/>
                <w:sz w:val="17"/>
                <w:szCs w:val="22"/>
              </w:rPr>
              <w:t>Escalado a cero (Scale-to-zero) elimina costos ociosos fuera de la jornada académica.</w:t>
            </w:r>
          </w:p>
        </w:tc>
      </w:tr>
      <w:tr>
        <w:tc>
          <w:tcPr>
            <w:tcW w:w="2551" w:type="dxa"/>
            <w:shd w:val="clear" w:fill="F8FA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B13844D">
            <w:pPr>
              <w:spacing w:after="0"/>
              <w:jc w:val="left"/>
            </w:pPr>
            <w:r>
              <w:rPr>
                <w:rFonts w:ascii="Calibri" w:hAnsi="Calibri" w:eastAsia="ＭＳ 明朝" w:cs="Calibri" w:eastAsiaTheme="minorEastAsia" w:csTheme="minorBidi"/>
                <w:color w:val="1E293B"/>
                <w:sz w:val="17"/>
                <w:szCs w:val="22"/>
              </w:rPr>
              <w:t>Asignación de CPU</w:t>
            </w:r>
          </w:p>
        </w:tc>
        <w:tc>
          <w:tcPr>
            <w:tcW w:w="2551" w:type="dxa"/>
            <w:shd w:val="clear" w:fill="F8FA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0E83775">
            <w:pPr>
              <w:spacing w:after="0"/>
              <w:jc w:val="left"/>
            </w:pPr>
            <w:r>
              <w:rPr>
                <w:rFonts w:ascii="Calibri" w:hAnsi="Calibri" w:eastAsia="ＭＳ 明朝" w:cs="Calibri" w:eastAsiaTheme="minorEastAsia" w:csTheme="minorBidi"/>
                <w:color w:val="1E293B"/>
                <w:sz w:val="17"/>
                <w:szCs w:val="22"/>
              </w:rPr>
              <w:t>CPU asignada solo durante procesamiento de requests</w:t>
            </w:r>
          </w:p>
        </w:tc>
        <w:tc>
          <w:tcPr>
            <w:tcW w:w="4870" w:type="dxa"/>
            <w:shd w:val="clear" w:fill="F8FA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6F7BF8">
            <w:pPr>
              <w:spacing w:after="0"/>
              <w:jc w:val="left"/>
            </w:pPr>
            <w:r>
              <w:rPr>
                <w:rFonts w:ascii="Calibri" w:hAnsi="Calibri" w:eastAsia="ＭＳ 明朝" w:cs="Calibri" w:eastAsiaTheme="minorEastAsia" w:csTheme="minorBidi"/>
                <w:color w:val="1E293B"/>
                <w:sz w:val="17"/>
                <w:szCs w:val="22"/>
              </w:rPr>
              <w:t>CPU throttling automático en reposo: facturación por milisegundo exacto de cómputo.</w:t>
            </w:r>
          </w:p>
        </w:tc>
      </w:tr>
      <w:tr>
        <w:tc>
          <w:tcPr>
            <w:tcW w:w="2551" w:type="dxa"/>
            <w:shd w:val="clear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C3C968">
            <w:pPr>
              <w:spacing w:after="0"/>
              <w:jc w:val="left"/>
            </w:pPr>
            <w:r>
              <w:rPr>
                <w:rFonts w:ascii="Calibri" w:hAnsi="Calibri" w:eastAsia="ＭＳ 明朝" w:cs="Calibri" w:eastAsiaTheme="minorEastAsia" w:csTheme="minorBidi"/>
                <w:color w:val="1E293B"/>
                <w:sz w:val="17"/>
                <w:szCs w:val="22"/>
              </w:rPr>
              <w:t>Límite de Tiempo (Timeout)</w:t>
            </w:r>
          </w:p>
        </w:tc>
        <w:tc>
          <w:tcPr>
            <w:tcW w:w="2551" w:type="dxa"/>
            <w:shd w:val="clear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1C1338">
            <w:pPr>
              <w:spacing w:after="0"/>
              <w:jc w:val="left"/>
            </w:pPr>
            <w:r>
              <w:rPr>
                <w:rFonts w:ascii="Calibri" w:hAnsi="Calibri" w:eastAsia="ＭＳ 明朝" w:cs="Calibri" w:eastAsiaTheme="minorEastAsia" w:csTheme="minorBidi"/>
                <w:color w:val="1E293B"/>
                <w:sz w:val="17"/>
                <w:szCs w:val="22"/>
              </w:rPr>
              <w:t>300 segundos</w:t>
            </w:r>
          </w:p>
        </w:tc>
        <w:tc>
          <w:tcPr>
            <w:tcW w:w="4870" w:type="dxa"/>
            <w:shd w:val="clear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51A200">
            <w:pPr>
              <w:spacing w:after="0"/>
              <w:jc w:val="left"/>
            </w:pPr>
            <w:r>
              <w:rPr>
                <w:rFonts w:ascii="Calibri" w:hAnsi="Calibri" w:eastAsia="ＭＳ 明朝" w:cs="Calibri" w:eastAsiaTheme="minorEastAsia" w:csTheme="minorBidi"/>
                <w:color w:val="1E293B"/>
                <w:sz w:val="17"/>
                <w:szCs w:val="22"/>
              </w:rPr>
              <w:t>Tolerancia ante lotes de procesamiento grupal de hasta 60 estudiantes concurrentes.</w:t>
            </w:r>
          </w:p>
        </w:tc>
      </w:tr>
    </w:tbl>
    <w:p w14:paraId="42EC1082">
      <w:pPr>
        <w:spacing w:after="120"/>
      </w:pPr>
    </w:p>
    <w:p w14:paraId="61F01AEF">
      <w:pPr>
        <w:pStyle w:val="Heading1"/>
        <w:spacing w:before="200" w:after="60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0A508C"/>
          <w:sz w:val="25"/>
          <w:szCs w:val="28"/>
        </w:rPr>
        <w:t>3. Variables de Entorno y Secretos Gestionados</w:t>
      </w:r>
    </w:p>
    <w:tbl>
      <w:tblPr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3324"/>
        <w:gridCol w:w="3324"/>
        <w:gridCol w:w="3324"/>
      </w:tblGrid>
      <w:tr>
        <w:tc>
          <w:tcPr>
            <w:tcW w:w="2551" w:type="dxa"/>
            <w:shd w:val="clear" w:fill="0A50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37C566">
            <w:pPr>
              <w:spacing w:after="0"/>
              <w:jc w:val="center"/>
            </w:pPr>
            <w:r>
              <w:rPr>
                <w:rFonts w:ascii="Calibri" w:hAnsi="Calibri" w:eastAsia="ＭＳ 明朝" w:cs="Calibri" w:eastAsiaTheme="minorEastAsia" w:csTheme="minorBidi"/>
                <w:b/>
                <w:bCs/>
                <w:color w:val="FFFFFF"/>
                <w:sz w:val="18"/>
                <w:szCs w:val="22"/>
              </w:rPr>
              <w:t>VARIABLE DE ENTORNO</w:t>
            </w:r>
          </w:p>
        </w:tc>
        <w:tc>
          <w:tcPr>
            <w:tcW w:w="2835" w:type="dxa"/>
            <w:shd w:val="clear" w:fill="0A50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C319AD">
            <w:pPr>
              <w:spacing w:after="0"/>
              <w:jc w:val="center"/>
            </w:pPr>
            <w:r>
              <w:rPr>
                <w:rFonts w:ascii="Calibri" w:hAnsi="Calibri" w:eastAsia="ＭＳ 明朝" w:cs="Calibri" w:eastAsiaTheme="minorEastAsia" w:csTheme="minorBidi"/>
                <w:b/>
                <w:bCs/>
                <w:color w:val="FFFFFF"/>
                <w:sz w:val="18"/>
                <w:szCs w:val="22"/>
              </w:rPr>
              <w:t>VALOR / ORIGEN</w:t>
            </w:r>
          </w:p>
        </w:tc>
        <w:tc>
          <w:tcPr>
            <w:tcW w:w="4586" w:type="dxa"/>
            <w:shd w:val="clear" w:fill="0A50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1B0A31">
            <w:pPr>
              <w:spacing w:after="0"/>
              <w:jc w:val="center"/>
            </w:pPr>
            <w:r>
              <w:rPr>
                <w:rFonts w:ascii="Calibri" w:hAnsi="Calibri" w:eastAsia="ＭＳ 明朝" w:cs="Calibri" w:eastAsiaTheme="minorEastAsia" w:csTheme="minorBidi"/>
                <w:b/>
                <w:bCs/>
                <w:color w:val="FFFFFF"/>
                <w:sz w:val="18"/>
                <w:szCs w:val="22"/>
              </w:rPr>
              <w:t>FUNCIÓN DENTRO DEL RUNTIME</w:t>
            </w:r>
          </w:p>
        </w:tc>
      </w:tr>
      <w:tr>
        <w:tc>
          <w:tcPr>
            <w:tcW w:w="2551" w:type="dxa"/>
            <w:shd w:val="clear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379BFC">
            <w:pPr>
              <w:spacing w:after="0"/>
              <w:jc w:val="left"/>
            </w:pPr>
            <w:r>
              <w:rPr>
                <w:rFonts w:ascii="Calibri" w:hAnsi="Calibri" w:eastAsia="ＭＳ 明朝" w:cs="Calibri" w:eastAsiaTheme="minorEastAsia" w:csTheme="minorBidi"/>
                <w:color w:val="1E293B"/>
                <w:sz w:val="17"/>
                <w:szCs w:val="22"/>
              </w:rPr>
              <w:t>DJANGO_SETTINGS_MODULE</w:t>
            </w:r>
          </w:p>
        </w:tc>
        <w:tc>
          <w:tcPr>
            <w:tcW w:w="2835" w:type="dxa"/>
            <w:shd w:val="clear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83A0D5">
            <w:pPr>
              <w:spacing w:after="0"/>
              <w:jc w:val="left"/>
            </w:pPr>
            <w:r>
              <w:rPr>
                <w:rFonts w:ascii="Calibri" w:hAnsi="Calibri" w:eastAsia="ＭＳ 明朝" w:cs="Calibri" w:eastAsiaTheme="minorEastAsia" w:csTheme="minorBidi"/>
                <w:color w:val="1E293B"/>
                <w:sz w:val="17"/>
                <w:szCs w:val="22"/>
              </w:rPr>
              <w:t>config.settings.prod</w:t>
            </w:r>
          </w:p>
        </w:tc>
        <w:tc>
          <w:tcPr>
            <w:tcW w:w="4586" w:type="dxa"/>
            <w:shd w:val="clear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7B860A">
            <w:pPr>
              <w:spacing w:after="0"/>
              <w:jc w:val="left"/>
            </w:pPr>
            <w:r>
              <w:rPr>
                <w:rFonts w:ascii="Calibri" w:hAnsi="Calibri" w:eastAsia="ＭＳ 明朝" w:cs="Calibri" w:eastAsiaTheme="minorEastAsia" w:csTheme="minorBidi"/>
                <w:color w:val="1E293B"/>
                <w:sz w:val="17"/>
                <w:szCs w:val="22"/>
              </w:rPr>
              <w:t>Activa compresión WhiteNoise, desactivación de DEBUG y seguridad estricta.</w:t>
            </w:r>
          </w:p>
        </w:tc>
      </w:tr>
      <w:tr>
        <w:tc>
          <w:tcPr>
            <w:tcW w:w="2551" w:type="dxa"/>
            <w:shd w:val="clear" w:fill="F8FA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766C18">
            <w:pPr>
              <w:spacing w:after="0"/>
              <w:jc w:val="left"/>
            </w:pPr>
            <w:r>
              <w:rPr>
                <w:rFonts w:ascii="Calibri" w:hAnsi="Calibri" w:eastAsia="ＭＳ 明朝" w:cs="Calibri" w:eastAsiaTheme="minorEastAsia" w:csTheme="minorBidi"/>
                <w:color w:val="1E293B"/>
                <w:sz w:val="17"/>
                <w:szCs w:val="22"/>
              </w:rPr>
              <w:t>PORT</w:t>
            </w:r>
          </w:p>
        </w:tc>
        <w:tc>
          <w:tcPr>
            <w:tcW w:w="2835" w:type="dxa"/>
            <w:shd w:val="clear" w:fill="F8FA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5C720C">
            <w:pPr>
              <w:spacing w:after="0"/>
              <w:jc w:val="left"/>
            </w:pPr>
            <w:r>
              <w:rPr>
                <w:rFonts w:ascii="Calibri" w:hAnsi="Calibri" w:eastAsia="ＭＳ 明朝" w:cs="Calibri" w:eastAsiaTheme="minorEastAsia" w:csTheme="minorBidi"/>
                <w:color w:val="1E293B"/>
                <w:sz w:val="17"/>
                <w:szCs w:val="22"/>
              </w:rPr>
              <w:t>8000 (Inyectado por Cloud Run)</w:t>
            </w:r>
          </w:p>
        </w:tc>
        <w:tc>
          <w:tcPr>
            <w:tcW w:w="4586" w:type="dxa"/>
            <w:shd w:val="clear" w:fill="F8FA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22E6DD">
            <w:pPr>
              <w:spacing w:after="0"/>
              <w:jc w:val="left"/>
            </w:pPr>
            <w:r>
              <w:rPr>
                <w:rFonts w:ascii="Calibri" w:hAnsi="Calibri" w:eastAsia="ＭＳ 明朝" w:cs="Calibri" w:eastAsiaTheme="minorEastAsia" w:csTheme="minorBidi"/>
                <w:color w:val="1E293B"/>
                <w:sz w:val="17"/>
                <w:szCs w:val="22"/>
              </w:rPr>
              <w:t>Enrutamiento del contenedor al puerto expuesto por el proxy de Google Cloud.</w:t>
            </w:r>
          </w:p>
        </w:tc>
      </w:tr>
      <w:tr>
        <w:tc>
          <w:tcPr>
            <w:tcW w:w="2551" w:type="dxa"/>
            <w:shd w:val="clear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B20545">
            <w:pPr>
              <w:spacing w:after="0"/>
              <w:jc w:val="left"/>
            </w:pPr>
            <w:r>
              <w:rPr>
                <w:rFonts w:ascii="Calibri" w:hAnsi="Calibri" w:eastAsia="ＭＳ 明朝" w:cs="Calibri" w:eastAsiaTheme="minorEastAsia" w:csTheme="minorBidi"/>
                <w:color w:val="1E293B"/>
                <w:sz w:val="17"/>
                <w:szCs w:val="22"/>
              </w:rPr>
              <w:t>AULA360_POSE_GPU</w:t>
            </w:r>
          </w:p>
        </w:tc>
        <w:tc>
          <w:tcPr>
            <w:tcW w:w="2835" w:type="dxa"/>
            <w:shd w:val="clear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A257912">
            <w:pPr>
              <w:spacing w:after="0"/>
              <w:jc w:val="left"/>
            </w:pPr>
            <w:r>
              <w:rPr>
                <w:rFonts w:ascii="Calibri" w:hAnsi="Calibri" w:eastAsia="ＭＳ 明朝" w:cs="Calibri" w:eastAsiaTheme="minorEastAsia" w:csTheme="minorBidi"/>
                <w:color w:val="1E293B"/>
                <w:sz w:val="17"/>
                <w:szCs w:val="22"/>
              </w:rPr>
              <w:t>false</w:t>
            </w:r>
          </w:p>
        </w:tc>
        <w:tc>
          <w:tcPr>
            <w:tcW w:w="4586" w:type="dxa"/>
            <w:shd w:val="clear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F850925">
            <w:pPr>
              <w:spacing w:after="0"/>
              <w:jc w:val="left"/>
            </w:pPr>
            <w:r>
              <w:rPr>
                <w:rFonts w:ascii="Calibri" w:hAnsi="Calibri" w:eastAsia="ＭＳ 明朝" w:cs="Calibri" w:eastAsiaTheme="minorEastAsia" w:csTheme="minorBidi"/>
                <w:color w:val="1E293B"/>
                <w:sz w:val="17"/>
                <w:szCs w:val="22"/>
              </w:rPr>
              <w:t>Deshabilita búsqueda de CUDA para evitar errores de enlace en entornos sin GPU física.</w:t>
            </w:r>
          </w:p>
        </w:tc>
      </w:tr>
      <w:tr>
        <w:tc>
          <w:tcPr>
            <w:tcW w:w="2551" w:type="dxa"/>
            <w:shd w:val="clear" w:fill="F8FA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81B691B">
            <w:pPr>
              <w:spacing w:after="0"/>
              <w:jc w:val="left"/>
            </w:pPr>
            <w:r>
              <w:rPr>
                <w:rFonts w:ascii="Calibri" w:hAnsi="Calibri" w:eastAsia="ＭＳ 明朝" w:cs="Calibri" w:eastAsiaTheme="minorEastAsia" w:csTheme="minorBidi"/>
                <w:color w:val="1E293B"/>
                <w:sz w:val="17"/>
                <w:szCs w:val="22"/>
              </w:rPr>
              <w:t>GEMINI_API_KEY</w:t>
            </w:r>
          </w:p>
        </w:tc>
        <w:tc>
          <w:tcPr>
            <w:tcW w:w="2835" w:type="dxa"/>
            <w:shd w:val="clear" w:fill="F8FA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22320D">
            <w:pPr>
              <w:spacing w:after="0"/>
              <w:jc w:val="left"/>
            </w:pPr>
            <w:r>
              <w:rPr>
                <w:rFonts w:ascii="Calibri" w:hAnsi="Calibri" w:eastAsia="ＭＳ 明朝" w:cs="Calibri" w:eastAsiaTheme="minorEastAsia" w:csTheme="minorBidi"/>
                <w:color w:val="1E293B"/>
                <w:sz w:val="17"/>
                <w:szCs w:val="22"/>
              </w:rPr>
              <w:t>Secret Manager: `gemini-api-key:latest`</w:t>
            </w:r>
          </w:p>
        </w:tc>
        <w:tc>
          <w:tcPr>
            <w:tcW w:w="4586" w:type="dxa"/>
            <w:shd w:val="clear" w:fill="F8FA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591272">
            <w:pPr>
              <w:spacing w:after="0"/>
              <w:jc w:val="left"/>
            </w:pPr>
            <w:r>
              <w:rPr>
                <w:rFonts w:ascii="Calibri" w:hAnsi="Calibri" w:eastAsia="ＭＳ 明朝" w:cs="Calibri" w:eastAsiaTheme="minorEastAsia" w:csTheme="minorBidi"/>
                <w:color w:val="1E293B"/>
                <w:sz w:val="17"/>
                <w:szCs w:val="22"/>
              </w:rPr>
              <w:t>Clave criptográfica para invocar los modelos multimodales de Google AI Studio.</w:t>
            </w:r>
          </w:p>
        </w:tc>
      </w:tr>
      <w:tr>
        <w:tc>
          <w:tcPr>
            <w:tcW w:w="2551" w:type="dxa"/>
            <w:shd w:val="clear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5979609">
            <w:pPr>
              <w:spacing w:after="0"/>
              <w:jc w:val="left"/>
            </w:pPr>
            <w:r>
              <w:rPr>
                <w:rFonts w:ascii="Calibri" w:hAnsi="Calibri" w:eastAsia="ＭＳ 明朝" w:cs="Calibri" w:eastAsiaTheme="minorEastAsia" w:csTheme="minorBidi"/>
                <w:color w:val="1E293B"/>
                <w:sz w:val="17"/>
                <w:szCs w:val="22"/>
              </w:rPr>
              <w:t>DJANGO_SECRET_KEY</w:t>
            </w:r>
          </w:p>
        </w:tc>
        <w:tc>
          <w:tcPr>
            <w:tcW w:w="2835" w:type="dxa"/>
            <w:shd w:val="clear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446D322">
            <w:pPr>
              <w:spacing w:after="0"/>
              <w:jc w:val="left"/>
            </w:pPr>
            <w:r>
              <w:rPr>
                <w:rFonts w:ascii="Calibri" w:hAnsi="Calibri" w:eastAsia="ＭＳ 明朝" w:cs="Calibri" w:eastAsiaTheme="minorEastAsia" w:csTheme="minorBidi"/>
                <w:color w:val="1E293B"/>
                <w:sz w:val="17"/>
                <w:szCs w:val="22"/>
              </w:rPr>
              <w:t>Secret Manager: `django-secret:latest`</w:t>
            </w:r>
          </w:p>
        </w:tc>
        <w:tc>
          <w:tcPr>
            <w:tcW w:w="4586" w:type="dxa"/>
            <w:shd w:val="clear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69A609">
            <w:pPr>
              <w:spacing w:after="0"/>
              <w:jc w:val="left"/>
            </w:pPr>
            <w:r>
              <w:rPr>
                <w:rFonts w:ascii="Calibri" w:hAnsi="Calibri" w:eastAsia="ＭＳ 明朝" w:cs="Calibri" w:eastAsiaTheme="minorEastAsia" w:csTheme="minorBidi"/>
                <w:color w:val="1E293B"/>
                <w:sz w:val="17"/>
                <w:szCs w:val="22"/>
              </w:rPr>
              <w:t>Semilla criptográfica para firma de cookies de sesión y tokens CSRF.</w:t>
            </w:r>
          </w:p>
        </w:tc>
      </w:tr>
      <w:tr>
        <w:tc>
          <w:tcPr>
            <w:tcW w:w="2551" w:type="dxa"/>
            <w:shd w:val="clear" w:fill="F8FA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457F12A">
            <w:pPr>
              <w:spacing w:after="0"/>
              <w:jc w:val="left"/>
            </w:pPr>
            <w:r>
              <w:rPr>
                <w:rFonts w:ascii="Calibri" w:hAnsi="Calibri" w:eastAsia="ＭＳ 明朝" w:cs="Calibri" w:eastAsiaTheme="minorEastAsia" w:csTheme="minorBidi"/>
                <w:color w:val="1E293B"/>
                <w:sz w:val="17"/>
                <w:szCs w:val="22"/>
              </w:rPr>
              <w:t>CSRF_TRUSTED_ORIGINS</w:t>
            </w:r>
          </w:p>
        </w:tc>
        <w:tc>
          <w:tcPr>
            <w:tcW w:w="2835" w:type="dxa"/>
            <w:shd w:val="clear" w:fill="F8FA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28EBAB">
            <w:pPr>
              <w:spacing w:after="0"/>
              <w:jc w:val="left"/>
            </w:pPr>
            <w:r>
              <w:rPr>
                <w:rFonts w:ascii="Calibri" w:hAnsi="Calibri" w:eastAsia="ＭＳ 明朝" w:cs="Calibri" w:eastAsiaTheme="minorEastAsia" w:csTheme="minorBidi"/>
                <w:color w:val="1E293B"/>
                <w:sz w:val="17"/>
                <w:szCs w:val="22"/>
              </w:rPr>
              <w:t>https://*.run.app, https://aulaglobal360.com</w:t>
            </w:r>
          </w:p>
        </w:tc>
        <w:tc>
          <w:tcPr>
            <w:tcW w:w="4586" w:type="dxa"/>
            <w:shd w:val="clear" w:fill="F8FA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D72D6FB">
            <w:pPr>
              <w:spacing w:after="0"/>
              <w:jc w:val="left"/>
            </w:pPr>
            <w:r>
              <w:rPr>
                <w:rFonts w:ascii="Calibri" w:hAnsi="Calibri" w:eastAsia="ＭＳ 明朝" w:cs="Calibri" w:eastAsiaTheme="minorEastAsia" w:csTheme="minorBidi"/>
                <w:color w:val="1E293B"/>
                <w:sz w:val="17"/>
                <w:szCs w:val="22"/>
              </w:rPr>
              <w:t>Evita ataques Cross-Site Request Forgery en peticiones POST de formularios y subida de videos.</w:t>
            </w:r>
          </w:p>
        </w:tc>
      </w:tr>
    </w:tbl>
    <w:p w14:paraId="226E9FF0">
      <w:pPr>
        <w:spacing w:after="120"/>
      </w:pPr>
    </w:p>
    <w:p w14:paraId="53769598">
      <w:pPr>
        <w:pStyle w:val="Heading1"/>
        <w:spacing w:before="200" w:after="60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0A508C"/>
          <w:sz w:val="25"/>
          <w:szCs w:val="28"/>
        </w:rPr>
        <w:t>4. Seguridad, Certificados HTTPS y Redirección Caddy/Cloud Run</w:t>
      </w:r>
    </w:p>
    <w:p w14:paraId="17AF80CD">
      <w:pPr>
        <w:spacing w:after="80" w:line="276" w:lineRule="auto"/>
      </w:pPr>
      <w:r>
        <w:rPr>
          <w:rFonts w:ascii="Calibri" w:hAnsi="Calibri" w:eastAsia="ＭＳ 明朝" w:cs="Calibri" w:eastAsiaTheme="minorEastAsia" w:csTheme="minorBidi"/>
          <w:color w:val="1E293B"/>
          <w:sz w:val="20"/>
          <w:szCs w:val="22"/>
        </w:rPr>
        <w:t>1. Certificados SSL/TLS Gestionados: Cloud Run aprovisiona y renueva automáticamente certificados X.509 de 2048 bits avalados por Google Trust Services, garantizando navegación cifrada de extremo a extremo sin costo ni mantenimiento.</w:t>
      </w:r>
      <w:r>
        <w:br w:type="textWrapping"/>
      </w:r>
      <w:r>
        <w:rPr>
          <w:rFonts w:ascii="Calibri" w:hAnsi="Calibri" w:eastAsia="ＭＳ 明朝" w:cs="Calibri" w:eastAsiaTheme="minorEastAsia" w:csTheme="minorBidi"/>
          <w:color w:val="1E293B"/>
          <w:sz w:val="20"/>
          <w:szCs w:val="22"/>
        </w:rPr>
        <w:t>2. Terminación TLS y HTTP/2: El frontend de Google Cloud gestiona la negociación SSL en el edge y reenvía el tráfico desmultiplexado hacia el socket Gunicorn.</w:t>
      </w:r>
      <w:r>
        <w:br w:type="textWrapping"/>
      </w:r>
      <w:r>
        <w:rPr>
          <w:rFonts w:ascii="Calibri" w:hAnsi="Calibri" w:eastAsia="ＭＳ 明朝" w:cs="Calibri" w:eastAsiaTheme="minorEastAsia" w:csTheme="minorBidi"/>
          <w:color w:val="1E293B"/>
          <w:sz w:val="20"/>
          <w:szCs w:val="22"/>
        </w:rPr>
        <w:t>3. Mitigación de Amenazas: Protección nativa de Google Cloud Armor contra inundación SYN, ataques DDoS en capas 3/4 y análisis de cabeceras HTTP maliciosas.</w:t>
      </w:r>
      <w:r>
        <w:br w:type="textWrapping"/>
      </w:r>
      <w:r>
        <w:rPr>
          <w:rFonts w:ascii="Calibri" w:hAnsi="Calibri" w:eastAsia="ＭＳ 明朝" w:cs="Calibri" w:eastAsiaTheme="minorEastAsia" w:csTheme="minorBidi"/>
          <w:color w:val="1E293B"/>
          <w:sz w:val="20"/>
          <w:szCs w:val="22"/>
        </w:rPr>
        <w:t>4. Aislamiento gVisor: Cada instancia del contenedor corre en un entorno sandbox gVisor que intercepta las llamadas al sistema (syscalls), aislando la ejecución de cualquier vulnerabilidad del kernel Linux.</w:t>
      </w:r>
    </w:p>
    <w:sectPr>
      <w:headerReference w:type="default" r:id="rId9"/>
      <w:footerReference w:type="default" r:id="rId10"/>
      <w:pgSz w:w="12240" w:h="15840"/>
      <w:pgMar w:top="1134" w:right="1134" w:bottom="1134" w:left="1134" w:header="720" w:footer="720" w:gutter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>
  <w:p>
    <w:pPr>
      <w:pStyle w:val="Footer"/>
      <w:jc w:val="center"/>
    </w:pPr>
    <w:r>
      <w:rPr>
        <w:color w:val="94A3B8"/>
        <w:sz w:val="16"/>
      </w:rPr>
      <w:t>Anexo C.3 · Ficha Técnica Despliegue Cloud Run · Evidencias Técnicas y Pedagógicas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>
  <w:p>
    <w:pPr>
      <w:pStyle w:val="Header"/>
      <w:jc w:val="right"/>
    </w:pPr>
    <w:r>
      <w:rPr>
        <w:color w:val="94A3B8"/>
        <w:sz w:val="17"/>
      </w:rPr>
      <w:t>AULA GLOBAL 360 · Sistema Inteligente de Evaluación Biomecánica y Curricular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Calibri" w:hAnsi="Calibri"/>
      <w:color w:val="1E293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2026-10-26T23:52:50.694Z</dcterms:modified>
  <cp:category/>
</cp:coreProperties>
</file>