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B7F29C3">
      <w:pPr>
        <w:spacing w:before="80" w:after="40"/>
        <w:jc w:val="left"/>
      </w:pPr>
      <w:r>
        <w:rPr>
          <w:rFonts w:ascii="Calibri" w:hAnsi="Calibri" w:eastAsia="ＭＳ 明朝" w:cs="Calibri" w:eastAsiaTheme="minorEastAsia"/>
          <w:b/>
          <w:bCs/>
          <w:color w:val="0284C7"/>
          <w:sz w:val="22"/>
          <w:szCs w:val="22"/>
        </w:rPr>
        <w:t>ANEXO D.1</w:t>
      </w:r>
    </w:p>
    <w:p w14:paraId="66007AF2">
      <w:pPr>
        <w:spacing w:after="60"/>
      </w:pPr>
      <w:r>
        <w:rPr>
          <w:rFonts w:ascii="Calibri" w:hAnsi="Calibri" w:eastAsia="ＭＳ 明朝" w:cs="Calibri" w:eastAsiaTheme="minorEastAsia"/>
          <w:b/>
          <w:bCs/>
          <w:color w:val="0A508C"/>
          <w:sz w:val="34"/>
          <w:szCs w:val="22"/>
        </w:rPr>
        <w:t>Álbum de Capturas del Prototipo Funcional (Flujo de 3 Pasos)</w:t>
      </w:r>
    </w:p>
    <w:p w14:paraId="78EB874A">
      <w:pPr>
        <w:spacing w:after="200"/>
      </w:pPr>
      <w:r>
        <w:rPr>
          <w:rFonts w:ascii="Calibri" w:hAnsi="Calibri" w:eastAsia="ＭＳ 明朝" w:cs="Calibri" w:eastAsiaTheme="minorEastAsia"/>
          <w:i/>
          <w:iCs/>
          <w:color w:val="475569"/>
          <w:sz w:val="21"/>
          <w:szCs w:val="22"/>
        </w:rPr>
        <w:t>Evidencias visuales de la interfaz docente y del pipeline de evaluación: Autenticación, Dashboard, Panel Lateral Drawer, Guía de Grabación, Velocímetro de Madurez y Exportación Word.</w:t>
      </w: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72"/>
      </w:tblGrid>
      <w:tr>
        <w:tc>
          <w:tcPr>
            <w:tcW w:w="9972" w:type="dxa"/>
            <w:shd w:val="clear" w:fill="0A508C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440561B5">
            <w:pPr>
              <w:spacing w:after="0"/>
            </w:pPr>
          </w:p>
        </w:tc>
      </w:tr>
    </w:tbl>
    <w:p w14:paraId="2727DB37">
      <w:pPr>
        <w:spacing w:after="120"/>
      </w:pPr>
    </w:p>
    <w:tbl>
      <w:tblPr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9972"/>
      </w:tblGrid>
      <w:tr>
        <w:tc>
          <w:tcPr>
            <w:tcW w:w="9972" w:type="dxa"/>
            <w:shd w:val="clear" w:fill="E0F2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C9C605">
            <w:pPr>
              <w:spacing w:after="40"/>
            </w:pPr>
            <w:r>
              <w:rPr>
                <w:rFonts w:ascii="Calibri" w:hAnsi="Calibri" w:eastAsia="ＭＳ 明朝" w:cs="Calibri" w:eastAsiaTheme="minorEastAsia"/>
                <w:b/>
                <w:bCs/>
                <w:color w:val="0A508C"/>
                <w:sz w:val="20"/>
                <w:szCs w:val="22"/>
              </w:rPr>
              <w:t>📌 GUÍA METODOLÓGICA DEL PROTOTIPO FUNCIONAL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/>
                <w:color w:val="0F172A"/>
                <w:sz w:val="19"/>
                <w:szCs w:val="22"/>
              </w:rPr>
              <w:t>El prototipo funcional de AulaGlobal360 fue concebido para minimizar la fricción técnica del maestro en el patio de clase. Su diseño UX/UI reduce la interacción a un flujo de tres pasos: 1) Selección de la habilidad y configuración curricular, 2) Registro del clip de video con guía visual de ángulos, y 3) Visualización inmediata del velocímetro motriz y descarga de los planes de clase oficiales en Word.</w:t>
            </w:r>
          </w:p>
        </w:tc>
      </w:tr>
    </w:tbl>
    <w:p w14:paraId="7510DF67">
      <w:pPr>
        <w:spacing w:after="60"/>
      </w:pPr>
    </w:p>
    <w:p w14:paraId="05698023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Paso 1: Portal de Bienvenida y Presentación Institucional</w:t>
      </w:r>
    </w:p>
    <w:p w14:paraId="657B3B29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Presenta el propósito del sistema, el marco científico validado (Dialnet 7925607) y el acceso directo al asistente de diagnóstico.</w:t>
      </w:r>
    </w:p>
    <w:p w14:paraId="402D053F">
      <w:pPr>
        <w:spacing w:before="80" w:after="40"/>
        <w:jc w:val="center"/>
      </w:pPr>
      <w:r>
        <w:drawing>
          <wp:inline distT="0" distB="0" distL="0" distR="0">
            <wp:extent cx="5667375" cy="280035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0A2A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1. Vista de bienvenida y landing page institucional</w:t>
      </w:r>
    </w:p>
    <w:p w14:paraId="028823E5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Paso 1: Dashboard Principal y Selección de Habilidad Motriz</w:t>
      </w:r>
    </w:p>
    <w:p w14:paraId="2593E52D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Permite al maestro elegir entre las 9 HMB o seleccionar el botón 'Detección Automática' donde la IA deduce el movimiento a partir de la cinemática.</w:t>
      </w:r>
    </w:p>
    <w:p w14:paraId="34457B26">
      <w:pPr>
        <w:spacing w:before="80" w:after="40"/>
        <w:jc w:val="center"/>
      </w:pPr>
      <w:r>
        <w:drawing>
          <wp:inline distT="0" distB="0" distL="0" distR="0">
            <wp:extent cx="5667375" cy="283845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79F1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2. Dashboard interactivo con tarjetas de HMB y modo 'Detección Automática'</w:t>
      </w:r>
    </w:p>
    <w:p w14:paraId="7949E24A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Configuración Curricular: Panel Lateral Desplegable (Drawer)</w:t>
      </w:r>
    </w:p>
    <w:p w14:paraId="4CF455BA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El docente parametrizada la edad/grado escolar (5 a 11 años), duración de clase (45–90 min), formato pedagógico (Circuito de estaciones, Cuento motor, etc.) y filtra los materiales físicos disponibles.</w:t>
      </w:r>
    </w:p>
    <w:p w14:paraId="6E4400B7">
      <w:pPr>
        <w:spacing w:before="80" w:after="40"/>
        <w:jc w:val="center"/>
      </w:pPr>
      <w:r>
        <w:drawing>
          <wp:inline distT="0" distB="0" distL="0" distR="0">
            <wp:extent cx="5667375" cy="283845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DCA3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3. Panel lateral 'Drawer' para configuración de grado, metodología y materiales</w:t>
      </w:r>
    </w:p>
    <w:p w14:paraId="583C818C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Configuración Avanzada: Módulo de Conexión de IA (Gemini)</w:t>
      </w:r>
    </w:p>
    <w:p w14:paraId="029BCC54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Permite alternar entre el motor local offline (WASM) y el motor multimodal Gemini 1.5 Flash / 2.0 Flash, con validación de clave en tiempo real.</w:t>
      </w:r>
    </w:p>
    <w:p w14:paraId="65400C7F">
      <w:pPr>
        <w:spacing w:before="80" w:after="40"/>
        <w:jc w:val="center"/>
      </w:pPr>
      <w:r>
        <w:drawing>
          <wp:inline distT="0" distB="0" distL="0" distR="0">
            <wp:extent cx="5667375" cy="283845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image100003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8C59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4. Modal interactivo para gestión de API Key de Gemini y selección de modelo</w:t>
      </w:r>
    </w:p>
    <w:p w14:paraId="180EAF6F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Paso 2: Módulo Interactivo de la Guía de Grabación Biomecánica</w:t>
      </w:r>
    </w:p>
    <w:p w14:paraId="55126A0F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Instruye al docente sobre la posición de la cámara (3 a 5 metros), altura del trípode (1.10 m), plano perpendicular a 90° e iluminación natural sin contraluces.</w:t>
      </w:r>
    </w:p>
    <w:p w14:paraId="03EDE89D">
      <w:pPr>
        <w:spacing w:before="80" w:after="40"/>
        <w:jc w:val="center"/>
      </w:pPr>
      <w:r>
        <w:drawing>
          <wp:inline distT="0" distB="0" distL="0" distR="0">
            <wp:extent cx="5667375" cy="3543300"/>
            <wp:effectExtent l="0" t="0" r="0" b="0"/>
            <wp:docPr id="100004" name="Picture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image10000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E49E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5. Modal de protocolo técnico de grabación (distancia, plano e iluminación)</w:t>
      </w:r>
    </w:p>
    <w:p w14:paraId="0D617F2E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Paso 2: Subida de Evidencia y Extracción de Fotogramas</w:t>
      </w:r>
    </w:p>
    <w:p w14:paraId="6E68F5F4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El docente sube el clip de 3 a 5 segundos o utiliza la cámara del dispositivo móvil. El sistema valida el formato y activa la compresión en memoria.</w:t>
      </w:r>
    </w:p>
    <w:p w14:paraId="02484EC2">
      <w:pPr>
        <w:spacing w:before="80" w:after="40"/>
        <w:jc w:val="center"/>
      </w:pPr>
      <w:r>
        <w:drawing>
          <wp:inline distT="0" distB="0" distL="0" distR="0">
            <wp:extent cx="5667375" cy="2486025"/>
            <wp:effectExtent l="0" t="0" r="0" b="0"/>
            <wp:docPr id="100005" name="Picture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image100005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3C9E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6. Área de carga por arrastre (drag-and-drop) y botón de captura directa</w:t>
      </w:r>
    </w:p>
    <w:p w14:paraId="3B7D7434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Paso 3: Pantalla de Resultados y Velocímetro de Madurez Motriz</w:t>
      </w:r>
    </w:p>
    <w:p w14:paraId="5234C293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Visualización gráfica instantánea: Dial analógico que sitúa el desempeño en Estadio Inicial, Elemental o Maduro, con desglose de criterios aprobados.</w:t>
      </w:r>
    </w:p>
    <w:p w14:paraId="3BFC4EA4">
      <w:pPr>
        <w:spacing w:before="80" w:after="40"/>
        <w:jc w:val="center"/>
      </w:pPr>
      <w:r>
        <w:drawing>
          <wp:inline distT="0" distB="0" distL="0" distR="0">
            <wp:extent cx="5667375" cy="2809875"/>
            <wp:effectExtent l="0" t="0" r="0" b="0"/>
            <wp:docPr id="100006" name="Picture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image10000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6D61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7. Velocímetro circular con estadios de Gallahue y porcentaje de madurez</w:t>
      </w:r>
    </w:p>
    <w:p w14:paraId="4CC7355F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Paso 3: Tira Visual de Fotogramas con Esqueleto Cinemático</w:t>
      </w:r>
    </w:p>
    <w:p w14:paraId="1C14ED0F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Muestra al maestro la postura exacta del niño en cada fase del movimiento con los vectores cinemáticos superpuestos y los hitos motrices clave.</w:t>
      </w:r>
    </w:p>
    <w:p w14:paraId="22317DE5">
      <w:pPr>
        <w:spacing w:before="80" w:after="40"/>
        <w:jc w:val="center"/>
      </w:pPr>
      <w:r>
        <w:drawing>
          <wp:inline distT="0" distB="0" distL="0" distR="0">
            <wp:extent cx="5667375" cy="2495550"/>
            <wp:effectExtent l="0" t="0" r="0" b="0"/>
            <wp:docPr id="100007" name="Picture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image100007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2940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8. Secuencia cronológica de 8 fotogramas con overlay de esqueleto 33 puntos</w:t>
      </w:r>
    </w:p>
    <w:p w14:paraId="57A8E3D6">
      <w:pPr>
        <w:pStyle w:val="Heading2"/>
        <w:spacing w:before="200" w:after="60"/>
      </w:pPr>
      <w:r>
        <w:rPr>
          <w:rFonts w:ascii="Calibri" w:hAnsi="Calibri" w:eastAsia="ＭＳ ゴシック" w:cs="Calibri" w:asciiTheme="majorHAnsi" w:hAnsiTheme="majorHAnsi" w:eastAsiaTheme="majorEastAsia"/>
          <w:b/>
          <w:bCs/>
          <w:color w:val="0284C7"/>
          <w:sz w:val="22"/>
          <w:szCs w:val="26"/>
        </w:rPr>
        <w:t>Paso 3: Exportación Oficial a Documentos Microsoft Word</w:t>
      </w:r>
    </w:p>
    <w:p w14:paraId="2234C1D7">
      <w:pPr>
        <w:spacing w:after="80"/>
      </w:pPr>
      <w:r>
        <w:rPr>
          <w:rFonts w:ascii="Calibri" w:hAnsi="Calibri" w:eastAsia="ＭＳ 明朝" w:cs="Calibri" w:eastAsiaTheme="minorEastAsia"/>
          <w:color w:val="1E293B"/>
          <w:sz w:val="20"/>
          <w:szCs w:val="22"/>
        </w:rPr>
        <w:t>Generación con un solo clic de los archivos oficiales editables en formato .docx compatibles con las normas curriculares del Ministerio de Educación Nacional.</w:t>
      </w:r>
    </w:p>
    <w:p w14:paraId="2C8FF7B1">
      <w:pPr>
        <w:spacing w:before="80" w:after="40"/>
        <w:jc w:val="center"/>
      </w:pPr>
      <w:r>
        <w:drawing>
          <wp:inline distT="0" distB="0" distL="0" distR="0">
            <wp:extent cx="5667375" cy="2590800"/>
            <wp:effectExtent l="0" t="0" r="0" b="0"/>
            <wp:docPr id="100008" name="Picture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image10000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E3D8">
      <w:pPr>
        <w:spacing w:after="160"/>
        <w:jc w:val="center"/>
      </w:pPr>
      <w:r>
        <w:rPr>
          <w:rFonts w:ascii="Calibri" w:hAnsi="Calibri" w:eastAsia="ＭＳ 明朝" w:cs="Calibri" w:eastAsiaTheme="minorEastAsia"/>
          <w:i/>
          <w:iCs/>
          <w:color w:val="475569"/>
          <w:sz w:val="17"/>
          <w:szCs w:val="22"/>
        </w:rPr>
        <w:t>Figura: Captura 9. Botones de descarga de Informe Biomecánico y Unidad Didáctica de 12 Clases</w:t>
      </w:r>
    </w:p>
    <w:p w14:paraId="0F21BD24">
      <w:pPr>
        <w:spacing w:before="280" w:after="80"/>
      </w:pPr>
      <w:r>
        <w:rPr>
          <w:rFonts w:ascii="Calibri" w:hAnsi="Calibri" w:eastAsia="ＭＳ 明朝" w:cs="Calibri" w:eastAsiaTheme="minorEastAsia" w:csTheme="minorBidi"/>
          <w:b/>
          <w:bCs/>
          <w:color w:val="0A508C"/>
          <w:sz w:val="22"/>
          <w:szCs w:val="22"/>
        </w:rPr>
        <w:t>Auditoría Cinemática Cuadro a Cuadro: Ampliación de Fotogramas Clave para Evaluadores</w:t>
      </w:r>
    </w:p>
    <w:p w14:paraId="1FE2137D">
      <w:pPr>
        <w:spacing w:after="160"/>
      </w:pPr>
      <w:r>
        <w:rPr>
          <w:rFonts w:ascii="Calibri" w:hAnsi="Calibri" w:eastAsia="ＭＳ 明朝" w:cs="Calibri" w:eastAsiaTheme="minorEastAsia" w:csTheme="minorBidi"/>
          <w:color w:val="1E293B"/>
          <w:sz w:val="20"/>
          <w:szCs w:val="22"/>
        </w:rPr>
        <w:t>Para efectos de rigor evaluativo, el sistema permite inspeccionar individualmente cada fotograma con la malla cinemática de 33 landmarks de MediaPipe Pose. A continuación se evidencian las fases críticas analizadas por el software: Fase 1 (Carga elástica a 108°), Fase 2 (Extensión explosiva a 162°), Fase 3 (Vuelo parabólico), y Fase 4 (Detección de la anomalía de aterrizaje rígido a 142°).</w:t>
      </w:r>
    </w:p>
    <w:tbl>
      <w:tblPr>
        <w:tblW w:w="0" w:type="auto"/>
        <w:jc w:val="center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86"/>
        <w:gridCol w:w="4986"/>
      </w:tblGrid>
      <w:tr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96F67A">
            <w:pPr>
              <w:jc w:val="center"/>
            </w:pPr>
            <w:r>
              <w:drawing>
                <wp:inline distT="0" distB="0" distL="0" distR="0">
                  <wp:extent cx="2447925" cy="4076700"/>
                  <wp:effectExtent l="0" t="0" r="0" b="0"/>
                  <wp:docPr id="100009" name="Picture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image100009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1E9B9">
            <w:pPr>
              <w:spacing w:after="12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Fotograma 1 (t=0.25s): Fase Preparatoria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Flexión óptima de rodilla a 108° (Criterio 1: Logrado)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AE067">
            <w:pPr>
              <w:jc w:val="center"/>
            </w:pPr>
            <w:r>
              <w:drawing>
                <wp:inline distT="0" distB="0" distL="0" distR="0">
                  <wp:extent cx="2447925" cy="4076700"/>
                  <wp:effectExtent l="0" t="0" r="0" b="0"/>
                  <wp:docPr id="100010" name="Picture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image10001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ACF0CD">
            <w:pPr>
              <w:spacing w:after="12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Fotograma 4 (t=1.00s): Despegue Crítico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Extensión vigorosa a 162° (Criterio 2: Logrado)</w:t>
            </w:r>
          </w:p>
        </w:tc>
      </w:tr>
      <w:tr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2293A">
            <w:pPr>
              <w:jc w:val="center"/>
            </w:pPr>
            <w:r>
              <w:drawing>
                <wp:inline distT="0" distB="0" distL="0" distR="0">
                  <wp:extent cx="2447925" cy="4076700"/>
                  <wp:effectExtent l="0" t="0" r="0" b="0"/>
                  <wp:docPr id="100011" name="Picture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image100011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0C2DC">
            <w:pPr>
              <w:spacing w:after="12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Fotograma 5 (t=1.25s): Parábola de Vuelo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Fase aérea detectada (Criterio 3: Logrado)</w:t>
            </w:r>
          </w:p>
        </w:tc>
        <w:tc>
          <w:tcPr>
            <w:tcW w:w="4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4E710">
            <w:pPr>
              <w:jc w:val="center"/>
            </w:pPr>
            <w:r>
              <w:drawing>
                <wp:inline distT="0" distB="0" distL="0" distR="0">
                  <wp:extent cx="2447925" cy="4076700"/>
                  <wp:effectExtent l="0" t="0" r="0" b="0"/>
                  <wp:docPr id="100012" name="Picture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image100012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407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D6DF7">
            <w:pPr>
              <w:spacing w:after="120"/>
              <w:jc w:val="center"/>
            </w:pP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Fotograma 7 (t=1.75s): Aterrizaje y Amortiguación</w:t>
            </w:r>
            <w:r>
              <w:br w:type="textWrapping"/>
            </w:r>
            <w:r>
              <w:rPr>
                <w:rFonts w:ascii="Calibri" w:hAnsi="Calibri" w:eastAsia="ＭＳ 明朝" w:cs="Calibri" w:eastAsiaTheme="minorEastAsia" w:csTheme="minorBidi"/>
                <w:i/>
                <w:iCs/>
                <w:color w:val="475569"/>
                <w:sz w:val="17"/>
                <w:szCs w:val="22"/>
              </w:rPr>
              <w:t>Rigidez detectada a 142° (Criterio 4: En proceso)</w:t>
            </w:r>
          </w:p>
        </w:tc>
      </w:tr>
    </w:tbl>
    <w:p w14:paraId="2E6E9CAE"/>
    <w:sectPr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  <w:jc w:val="center"/>
    </w:pPr>
    <w:r>
      <w:rPr>
        <w:color w:val="94A3B8"/>
        <w:sz w:val="16"/>
      </w:rPr>
      <w:t>Anexo D.1 · Álbum de Capturas del Prototipo · Evidencias Técnicas y Pedagógicas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  <w:jc w:val="right"/>
    </w:pPr>
    <w:r>
      <w:rPr>
        <w:color w:val="94A3B8"/>
        <w:sz w:val="17"/>
      </w:rPr>
      <w:t>AULA GLOBAL 360 · Sistema Inteligente de Evaluación Biomecánica y Curricular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2026-10-27T00:01:32.645Z</dcterms:modified>
  <cp:category/>
</cp:coreProperties>
</file>