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left"/>
      </w:pPr>
      <w:r>
        <w:rPr>
          <w:b/>
          <w:color w:val="0284C7"/>
          <w:sz w:val="22"/>
        </w:rPr>
        <w:t>ANEXO C.3</w:t>
      </w:r>
    </w:p>
    <w:p>
      <w:pPr>
        <w:spacing w:after="60"/>
      </w:pPr>
      <w:r>
        <w:rPr>
          <w:b/>
          <w:color w:val="0A508C"/>
          <w:sz w:val="34"/>
        </w:rPr>
        <w:t>Ficha Técnica de Despliegue en la Nube (Google Cloud Run)</w:t>
      </w:r>
    </w:p>
    <w:p>
      <w:pPr>
        <w:spacing w:after="200"/>
      </w:pPr>
      <w:r>
        <w:rPr>
          <w:i/>
          <w:color w:val="475569"/>
          <w:sz w:val="21"/>
        </w:rPr>
        <w:t>Especificaciones del contenedor Docker, arquitectura serverless de contenedores, asignación de memoria volátil, variables de entorno, seguridad HTTPS y políticas de autoescalado en us-central1.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A508C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0F2F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A508C"/>
                <w:sz w:val="20"/>
              </w:rPr>
              <w:t>📌 INFRAESTRUCTURA SERVERLESS DE ALTO RENDIMIENTO</w:t>
              <w:br/>
            </w:r>
            <w:r>
              <w:rPr>
                <w:color w:val="0F172A"/>
                <w:sz w:val="19"/>
              </w:rPr>
              <w:t>La arquitectura backend de AulaGlobal360 opera bajo un modelo de Contenedores como Servicio (CaaS) sobre Google Cloud Run (us-central1). Permite escalar automáticamente de 0 a N instancias en respuesta al tráfico escolar matutino, garantizando costo $0 en horarios nocturnos. Los cómputos de visión se ejecutan en microcontenedores optimizados de Python 3.12-slim con dependencias nativas C++ de MediaPipe, OpenCV y aceleración multicapa de Gunicorn.</w:t>
            </w:r>
          </w:p>
        </w:tc>
      </w:tr>
    </w:tbl>
    <w:p>
      <w:pPr>
        <w:spacing w:after="60"/>
      </w:pPr>
    </w:p>
    <w:p>
      <w:pPr>
        <w:pStyle w:val="Heading1"/>
        <w:spacing w:before="200" w:after="60"/>
      </w:pPr>
      <w:r>
        <w:rPr>
          <w:b/>
          <w:color w:val="0A508C"/>
          <w:sz w:val="25"/>
        </w:rPr>
        <w:t>1. Especificación del Contenedor Docker (Dockerfile)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PARÁMETRO DOCKER</w:t>
            </w:r>
          </w:p>
        </w:tc>
        <w:tc>
          <w:tcPr>
            <w:tcW w:type="dxa" w:w="2551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 / VERSIÓN</w:t>
            </w:r>
          </w:p>
        </w:tc>
        <w:tc>
          <w:tcPr>
            <w:tcW w:type="dxa" w:w="5040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JUSTIFICACIÓN TÉCNICA Y OPERATIVA</w:t>
            </w:r>
          </w:p>
        </w:tc>
      </w:tr>
      <w:tr>
        <w:tc>
          <w:tcPr>
            <w:tcW w:type="dxa" w:w="238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Imagen Base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python:3.12-slim</w:t>
            </w:r>
          </w:p>
        </w:tc>
        <w:tc>
          <w:tcPr>
            <w:tcW w:type="dxa" w:w="504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Distribución Debian Bookworm ultra liviana (~140 MB base) sin sobrecarga de GUI.</w:t>
            </w:r>
          </w:p>
        </w:tc>
      </w:tr>
      <w:tr>
        <w:tc>
          <w:tcPr>
            <w:tcW w:type="dxa" w:w="238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Dependencias del Sistema Operativo</w:t>
            </w:r>
          </w:p>
        </w:tc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libgl1, libglib2.0-0, libegl1, libgles2, ffmpeg</w:t>
            </w:r>
          </w:p>
        </w:tc>
        <w:tc>
          <w:tcPr>
            <w:tcW w:type="dxa" w:w="5040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Bibliotecas C/C++ indispensables para decodificación de códecs de video MP4/WebM y renderizado headless de OpenCV/MediaPipe.</w:t>
            </w:r>
          </w:p>
        </w:tc>
      </w:tr>
      <w:tr>
        <w:tc>
          <w:tcPr>
            <w:tcW w:type="dxa" w:w="238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Gestor de Procesos WSGI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Gunicorn 23.0 + Uvicorn Worker</w:t>
            </w:r>
          </w:p>
        </w:tc>
        <w:tc>
          <w:tcPr>
            <w:tcW w:type="dxa" w:w="504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Servidor WSGI para producción con 3 workers concurrentes y timeout extendido de 120 s para procesamiento intensivo de video.</w:t>
            </w:r>
          </w:p>
        </w:tc>
      </w:tr>
      <w:tr>
        <w:tc>
          <w:tcPr>
            <w:tcW w:type="dxa" w:w="238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Seguridad del Contenedor</w:t>
            </w:r>
          </w:p>
        </w:tc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Usuario no privilegiado `aula` (UID 1001)</w:t>
            </w:r>
          </w:p>
        </w:tc>
        <w:tc>
          <w:tcPr>
            <w:tcW w:type="dxa" w:w="5040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No-root container execution para impedir escalamiento de privilegios en el kernel host.</w:t>
            </w:r>
          </w:p>
        </w:tc>
      </w:tr>
      <w:tr>
        <w:tc>
          <w:tcPr>
            <w:tcW w:type="dxa" w:w="238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Optimización de Capas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Lockfile de dependencias fijadas (`requirements/lock.txt`)</w:t>
            </w:r>
          </w:p>
        </w:tc>
        <w:tc>
          <w:tcPr>
            <w:tcW w:type="dxa" w:w="504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Garantiza determinismo absoluto: MediaPipe 1.0.1 y OpenCV 4.10 fijados para evitar variaciones cinemáticas entre compilaciones.</w:t>
            </w:r>
          </w:p>
        </w:tc>
      </w:tr>
    </w:tbl>
    <w:p>
      <w:pPr>
        <w:spacing w:after="120"/>
      </w:pPr>
    </w:p>
    <w:p>
      <w:pPr>
        <w:pStyle w:val="Heading1"/>
        <w:spacing w:before="200" w:after="60"/>
      </w:pPr>
      <w:r>
        <w:rPr>
          <w:b/>
          <w:color w:val="0A508C"/>
          <w:sz w:val="25"/>
        </w:rPr>
        <w:t>2. Configuración del Servicio en Google Cloud Run (us-central1)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PARÁMETRO CLOUD RUN</w:t>
            </w:r>
          </w:p>
        </w:tc>
        <w:tc>
          <w:tcPr>
            <w:tcW w:type="dxa" w:w="2551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type="dxa" w:w="4870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DESCRIPCIÓN DE LA POLÍTICA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Región Geográfica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us-central1 (Iowa, USA)</w:t>
            </w:r>
          </w:p>
        </w:tc>
        <w:tc>
          <w:tcPr>
            <w:tcW w:type="dxa" w:w="487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Baja latencia con Colombia (~75 ms) y máxima disponibilidad de cuotas para modelos de Gemini.</w:t>
            </w:r>
          </w:p>
        </w:tc>
      </w:tr>
      <w:tr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Asignación de CPU</w:t>
            </w:r>
          </w:p>
        </w:tc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2 vCPU Dedicadas</w:t>
            </w:r>
          </w:p>
        </w:tc>
        <w:tc>
          <w:tcPr>
            <w:tcW w:type="dxa" w:w="4870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Potencia suficiente para la decodificación de fotogramas y transformaciones espaciales en CPU.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Memoria Volátil (RAM)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2048 MiB (2 GiB)</w:t>
            </w:r>
          </w:p>
        </w:tc>
        <w:tc>
          <w:tcPr>
            <w:tcW w:type="dxa" w:w="487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Soporta el footprint del modelo MediaPipe PoseLandmarker en RAM sin activación de swapping.</w:t>
            </w:r>
          </w:p>
        </w:tc>
      </w:tr>
      <w:tr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Modelo de Concurrencia</w:t>
            </w:r>
          </w:p>
        </w:tc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80 solicitudes simultáneas por instancia</w:t>
            </w:r>
          </w:p>
        </w:tc>
        <w:tc>
          <w:tcPr>
            <w:tcW w:type="dxa" w:w="4870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Distribución eficiente de peticiones web y reportes antes de activar un nuevo contenedor.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Autoescalado Dinámico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Mínimo: 0 instancias | Máximo: 10 instancias</w:t>
            </w:r>
          </w:p>
        </w:tc>
        <w:tc>
          <w:tcPr>
            <w:tcW w:type="dxa" w:w="487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Escalado a cero (Scale-to-zero) elimina costos ociosos fuera de la jornada académica.</w:t>
            </w:r>
          </w:p>
        </w:tc>
      </w:tr>
      <w:tr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Asignación de CPU</w:t>
            </w:r>
          </w:p>
        </w:tc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CPU asignada solo durante procesamiento de requests</w:t>
            </w:r>
          </w:p>
        </w:tc>
        <w:tc>
          <w:tcPr>
            <w:tcW w:type="dxa" w:w="4870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CPU throttling automático en reposo: facturación por milisegundo exacto de cómputo.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Límite de Tiempo (Timeout)</w:t>
            </w:r>
          </w:p>
        </w:tc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300 segundos</w:t>
            </w:r>
          </w:p>
        </w:tc>
        <w:tc>
          <w:tcPr>
            <w:tcW w:type="dxa" w:w="4870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Tolerancia ante lotes de procesamiento grupal de hasta 60 estudiantes concurrentes.</w:t>
            </w:r>
          </w:p>
        </w:tc>
      </w:tr>
    </w:tbl>
    <w:p>
      <w:pPr>
        <w:spacing w:after="120"/>
      </w:pPr>
    </w:p>
    <w:p>
      <w:pPr>
        <w:pStyle w:val="Heading1"/>
        <w:spacing w:before="200" w:after="60"/>
      </w:pPr>
      <w:r>
        <w:rPr>
          <w:b/>
          <w:color w:val="0A508C"/>
          <w:sz w:val="25"/>
        </w:rPr>
        <w:t>3. Variables de Entorno y Secretos Gestionados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VARIABLE DE ENTORNO</w:t>
            </w:r>
          </w:p>
        </w:tc>
        <w:tc>
          <w:tcPr>
            <w:tcW w:type="dxa" w:w="2835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 / ORIGEN</w:t>
            </w:r>
          </w:p>
        </w:tc>
        <w:tc>
          <w:tcPr>
            <w:tcW w:type="dxa" w:w="4586"/>
            <w:shd w:val="clear" w:color="auto" w:fill="0A508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FUNCIÓN DENTRO DEL RUNTIME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DJANGO_SETTINGS_MODULE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config.settings.prod</w:t>
            </w:r>
          </w:p>
        </w:tc>
        <w:tc>
          <w:tcPr>
            <w:tcW w:type="dxa" w:w="4586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Activa compresión WhiteNoise, desactivación de DEBUG y seguridad estricta.</w:t>
            </w:r>
          </w:p>
        </w:tc>
      </w:tr>
      <w:tr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PORT</w:t>
            </w:r>
          </w:p>
        </w:tc>
        <w:tc>
          <w:tcPr>
            <w:tcW w:type="dxa" w:w="2835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8000 (Inyectado por Cloud Run)</w:t>
            </w:r>
          </w:p>
        </w:tc>
        <w:tc>
          <w:tcPr>
            <w:tcW w:type="dxa" w:w="4586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Enrutamiento del contenedor al puerto expuesto por el proxy de Google Cloud.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AULA360_POSE_GPU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false</w:t>
            </w:r>
          </w:p>
        </w:tc>
        <w:tc>
          <w:tcPr>
            <w:tcW w:type="dxa" w:w="4586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Deshabilita búsqueda de CUDA para evitar errores de enlace en entornos sin GPU física.</w:t>
            </w:r>
          </w:p>
        </w:tc>
      </w:tr>
      <w:tr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GEMINI_API_KEY</w:t>
            </w:r>
          </w:p>
        </w:tc>
        <w:tc>
          <w:tcPr>
            <w:tcW w:type="dxa" w:w="2835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Secret Manager: `gemini-api-key:latest`</w:t>
            </w:r>
          </w:p>
        </w:tc>
        <w:tc>
          <w:tcPr>
            <w:tcW w:type="dxa" w:w="4586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Clave criptográfica para invocar los modelos multimodales de Google AI Studio.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DJANGO_SECRET_KEY</w:t>
            </w:r>
          </w:p>
        </w:tc>
        <w:tc>
          <w:tcPr>
            <w:tcW w:type="dxa" w:w="2835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Secret Manager: `django-secret:latest`</w:t>
            </w:r>
          </w:p>
        </w:tc>
        <w:tc>
          <w:tcPr>
            <w:tcW w:type="dxa" w:w="4586"/>
            <w:shd w:val="clear" w:color="auto" w:fill="FFFFFF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Semilla criptográfica para firma de cookies de sesión y tokens CSRF.</w:t>
            </w:r>
          </w:p>
        </w:tc>
      </w:tr>
      <w:tr>
        <w:tc>
          <w:tcPr>
            <w:tcW w:type="dxa" w:w="2551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DJANGO_CSRF_TRUSTED_ORIGINS</w:t>
            </w:r>
          </w:p>
        </w:tc>
        <w:tc>
          <w:tcPr>
            <w:tcW w:type="dxa" w:w="2835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https://*.run.app, https://aulaglobal360.com</w:t>
            </w:r>
          </w:p>
        </w:tc>
        <w:tc>
          <w:tcPr>
            <w:tcW w:type="dxa" w:w="4586"/>
            <w:shd w:val="clear" w:color="auto"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color w:val="1E293B"/>
                <w:sz w:val="17"/>
              </w:rPr>
              <w:t>Evita ataques Cross-Site Request Forgery en peticiones POST de formularios y subida de videos.</w:t>
            </w:r>
          </w:p>
        </w:tc>
      </w:tr>
    </w:tbl>
    <w:p>
      <w:pPr>
        <w:spacing w:after="120"/>
      </w:pPr>
    </w:p>
    <w:p>
      <w:pPr>
        <w:pStyle w:val="Heading1"/>
        <w:spacing w:before="200" w:after="60"/>
      </w:pPr>
      <w:r>
        <w:rPr>
          <w:b/>
          <w:color w:val="0A508C"/>
          <w:sz w:val="25"/>
        </w:rPr>
        <w:t>4. Seguridad, Certificados HTTPS y Redirección Caddy/Cloud Run</w:t>
      </w:r>
    </w:p>
    <w:p>
      <w:r>
        <w:t>1. Certificados SSL/TLS Gestionados: Cloud Run aprovisiona y renueva automáticamente certificados X.509 de 2048 bits avalados por Google Trust Services, garantizando navegación cifrada de extremo a extremo sin costo ni mantenimiento.</w:t>
        <w:br/>
        <w:t>2. Terminación TLS y HTTP/2: El frontend de Google Cloud gestiona la negociación SSL en el edge y reenvía el tráfico desmultiplexado hacia el socket Gunicorn.</w:t>
        <w:br/>
        <w:t>3. Mitigación de Amenazas: Protección nativa de Google Cloud Armor contra inundación SYN, ataques DDoS en capas 3/4 y análisis de cabeceras HTTP maliciosas.</w:t>
        <w:br/>
        <w:t>4. Aislamiento gVisor: Cada instancia del contenedor corre en un entorno sandbox gVisor que intercepta las llamadas al sistema (syscalls), aislando la ejecución de cualquier vulnerabilidad del kernel Linux.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Anexo C.3 · Ficha Técnica Despliegue Cloud Run · Evidencias Técnicas y Pedagógicas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AULA GLOBAL 360 · Sistema Inteligente de Evaluación Biomecánica y Curricular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