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  <w:sz w:val="36"/>
        </w:rPr>
        <w:t>Anexo F1 · Reporte de pruebas unitarias de AULA GLOBAL 360</w:t>
      </w:r>
    </w:p>
    <w:p>
      <w:r>
        <w:rPr>
          <w:i/>
        </w:rPr>
        <w:t>28 de octubre de 2026 · backend Django, rama develop, commit 2b4a1b6</w:t>
      </w:r>
    </w:p>
    <w:p>
      <w:r>
        <w:t>La suite automatizada ejecutó 1.862 pruebas: 1.861 pasaron, 1 se omitió y 0 fallaron. Las pruebas recorren el 92 % de las 6.542 líneas del código del servidor, en 8,1 segundos.</w:t>
      </w:r>
    </w:p>
    <w:p>
      <w:pPr>
        <w:pStyle w:val="Heading1"/>
      </w:pPr>
      <w:r>
        <w:rPr>
          <w:color w:val="1E3A8A"/>
        </w:rPr>
        <w:t>1. Resultado general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6236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Pruebas ejecutadas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1.862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Aprobadas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1.861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Fallidas o con error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Omitidas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1 (requiere una imagen real; ver sección 4)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Cobertura de líneas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92,3 % de 6.542 líneas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Duración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8,1 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Entorno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Python 3.12, Django 5.2, pytest 9.1; MediaPipe reemplazado por detectores simulados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Bases de datos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SQLite (desarrollo) y MySQL 9.6 (producción usa Cloud SQL MySQL): las mismas 1.861 pruebas aprobadas en las dos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Integración continua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GitHub Actions corre la misma suite en cada push que toca backend/ (flujo «Pruebas backend»)</w:t>
            </w:r>
          </w:p>
        </w:tc>
      </w:tr>
    </w:tbl>
    <w:p>
      <w:pPr>
        <w:pStyle w:val="Heading1"/>
      </w:pPr>
      <w:r>
        <w:rPr>
          <w:color w:val="1E3A8A"/>
        </w:rPr>
        <w:t>2. Pruebas por archivo</w:t>
      </w:r>
    </w:p>
    <w:p>
      <w:r>
        <w:t>Cada archivo agrupa las pruebas de un componente. Las de paridad comparan el código Python con la versión web original (script.js de la rama main) sobre los mismos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81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964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Pruebas</w:t>
            </w:r>
          </w:p>
        </w:tc>
        <w:tc>
          <w:tcPr>
            <w:tcW w:type="dxa" w:w="6009"/>
            <w:shd w:val="clear" w:color="auto" w:fill="1E3A8A"/>
          </w:tcPr>
          <w:p>
            <w:r/>
            <w:r>
              <w:rPr>
                <w:b/>
                <w:color w:val="FFFFFF"/>
                <w:sz w:val="19"/>
              </w:rPr>
              <w:t>Qué verifica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test_paridad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756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Paridad del motor v1 con script.js: ángulos, clasificación, criterios y estadio.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test_didactica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726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Paridad del generador de unidades v1 con la web; tiempos de la sesión.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test_montaje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113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Montaje 3D: lectura del texto de distribución, medidas y escena de las 108 sesiones.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test_montaje_coherencia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113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Montaje 3D coherente con cada prueba y con el material del docente.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test_motor_v2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Motor v2: eventos del video, detección con confianza, criterios por confirmar, fotogramas clave.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test_materiales_sesion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Textos de la sesión con el material elegido, biomecánica y modelados de las tres partes.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test_didactica_v2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Unidad personalizada: banco por habilidad y refuerzos por criterios no logrados.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test_extraccion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Extracción de fotogramas y tarea de procesamiento con un detector simulado.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test_motor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Comportamiento del motor v1 en casos legibles (complementa la paridad).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test_ia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Gemini con un cliente simulado: prompt, fusión con el motor y respaldo local.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test_configuracion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«Configurar clase»: preferencias guardadas por docente.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test_vistas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Flujo web completo: registro, salón, evaluar video, resultado, planeación y Word.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test_planeacion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Unidades individuales y del salón, reportes Word del estudiante y de la unidad.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test_catalogo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Carga del catálogo: 9 habilidades, 45 criterios y 108 sesiones.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test_evaluaciones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Modelo de evaluación y permisos.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test_interfaz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6009"/>
          </w:tcPr>
          <w:p>
            <w:r/>
            <w:r>
              <w:rPr>
                <w:sz w:val="19"/>
              </w:rPr>
              <w:t>La interfaz Django reutiliza los estilos de la web sin modificarlos.</w:t>
            </w:r>
          </w:p>
        </w:tc>
      </w:tr>
    </w:tbl>
    <w:p>
      <w:pPr>
        <w:pStyle w:val="Heading1"/>
      </w:pPr>
      <w:r>
        <w:rPr>
          <w:color w:val="1E3A8A"/>
        </w:rPr>
        <w:t>3. Cobertura por componente</w:t>
      </w:r>
    </w:p>
    <w:p>
      <w:r>
        <w:t>La línea punteada es la cobertura total. Los componentes en naranja tienen menos del 80 % de sus líneas ejercitadas por las pruebas; la sección 4 explica por qué.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1372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37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E3A8A"/>
        </w:rPr>
        <w:t>4. Lo que falta probar</w:t>
      </w:r>
    </w:p>
    <w:p>
      <w:pPr>
        <w:pStyle w:val="ListBullet"/>
      </w:pPr>
      <w:r>
        <w:t>Prueba omitida: test_mediapipe_real (test_extraccion). Corre MediaPipe sobre una foto real y solo se activa si se define la variable AULA360_IMAGEN_PRUEBA; en el resto de la suite la pose se simula.</w:t>
      </w:r>
    </w:p>
    <w:p>
      <w:pPr>
        <w:pStyle w:val="ListBullet"/>
      </w:pPr>
      <w:r>
        <w:t>Validación con videos reales de niños calificados por docentes. Las pruebas usan movimientos sintéticos; el comando validar_videos ya mide la concordancia criterio por criterio cuando haya videos etiquetados.</w:t>
      </w:r>
    </w:p>
    <w:p>
      <w:pPr>
        <w:pStyle w:val="ListBullet"/>
      </w:pPr>
      <w:r>
        <w:t>Configuración del servidor (≈ 73 %): los archivos de arranque en producción (wsgi, asgi, Celery) no se ejecutan en las pruebas; se comprueban con el chequeo de producción de la integración continua.</w:t>
      </w:r>
    </w:p>
    <w:p>
      <w:pPr>
        <w:pStyle w:val="ListBullet"/>
      </w:pPr>
      <w:r>
        <w:t>Reportes Word (≈ 79 %): la ficha del estudiante con todos sus apartados opcionales y el anexo de investigación no tienen pruebas propias.</w:t>
      </w:r>
    </w:p>
    <w:p>
      <w:pPr>
        <w:pStyle w:val="ListBullet"/>
      </w:pPr>
      <w:r>
        <w:t>Habilidades y grados (≈ 60 %) y fotogramas clave por evento (≈ 79 %): faltan casos para todos los grados y para habilidades sin gesto detectado en video.</w:t>
      </w:r>
    </w:p>
    <w:p>
      <w:pPr>
        <w:pStyle w:val="ListBullet"/>
      </w:pPr>
      <w:r>
        <w:t>MySQL: la suite completa pasa contra MySQL y las migraciones cargan las 108 sesiones. Se agregó PyMySQL a los requisitos de producción (antes faltaba el controlador) y un trabajo de GitHub Actions que repite las pruebas con MySQL 8.4. Falta confirmar en Cloud Run que DATABASE_URL apunte a Cloud SQL.</w:t>
      </w:r>
    </w:p>
    <w:p>
      <w:pPr>
        <w:pStyle w:val="Heading1"/>
      </w:pPr>
      <w:r>
        <w:rPr>
          <w:color w:val="1E3A8A"/>
        </w:rPr>
        <w:t>5. Cómo repetir las pruebas</w:t>
      </w:r>
    </w:p>
    <w:p>
      <w:r>
        <w:rPr>
          <w:rFonts w:ascii="Courier New" w:hAnsi="Courier New"/>
          <w:sz w:val="19"/>
        </w:rPr>
        <w:t>cd backend</w:t>
      </w:r>
    </w:p>
    <w:p>
      <w:r>
        <w:rPr>
          <w:rFonts w:ascii="Courier New" w:hAnsi="Courier New"/>
          <w:sz w:val="19"/>
        </w:rPr>
        <w:t>.venv/bin/python -m pytest -q</w:t>
      </w:r>
    </w:p>
    <w:p>
      <w:r>
        <w:rPr>
          <w:rFonts w:ascii="Courier New" w:hAnsi="Courier New"/>
          <w:sz w:val="19"/>
        </w:rPr>
        <w:t>DATABASE_URL=mysql://usuario:clave@127.0.0.1:3306/aula .venv/bin/python -m pytest -q --ds=config.settings.test_mysql</w:t>
      </w:r>
    </w:p>
    <w:p>
      <w:r>
        <w:rPr>
          <w:rFonts w:ascii="Courier New" w:hAnsi="Courier New"/>
          <w:sz w:val="19"/>
        </w:rPr>
        <w:t>.venv/bin/python -m coverage run --source=apps,biomecanica,config -m pytest -q</w:t>
      </w:r>
    </w:p>
    <w:p>
      <w:r>
        <w:rPr>
          <w:rFonts w:ascii="Courier New" w:hAnsi="Courier New"/>
          <w:sz w:val="19"/>
        </w:rPr>
        <w:t>.venv/bin/python -m coverage report</w:t>
      </w:r>
    </w:p>
    <w:p>
      <w:r>
        <w:t>La herramienta coverage se instaló solo en el entorno local para este reporte; no forma parte de los requisitos del proyecto.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