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ind w:left="-307" w:right="287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Febrero de 2020. Universidad Tecnológica de Pereira – introducción a la informática </w:t>
      </w:r>
    </w:p>
    <w:p w14:paraId="353E6273" w14:textId="77777777" w:rsid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409" w:right="2409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Representación flotante </w:t>
      </w:r>
    </w:p>
    <w:p w14:paraId="00000002" w14:textId="3553A92C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2409" w:right="2409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Floating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Representation</w:t>
      </w:r>
      <w:proofErr w:type="spellEnd"/>
      <w:r>
        <w:rPr>
          <w:color w:val="000000"/>
          <w:sz w:val="28"/>
          <w:szCs w:val="28"/>
        </w:rPr>
        <w:t xml:space="preserve"> </w:t>
      </w:r>
    </w:p>
    <w:p w14:paraId="00000003" w14:textId="7F0D1DD5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3168" w:right="3163"/>
        <w:jc w:val="center"/>
        <w:rPr>
          <w:color w:val="000000"/>
          <w:sz w:val="18"/>
          <w:szCs w:val="18"/>
        </w:rPr>
        <w:sectPr w:rsidR="00BB22EC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color w:val="000000"/>
        </w:rPr>
        <w:t xml:space="preserve">Juan David </w:t>
      </w:r>
      <w:r>
        <w:t xml:space="preserve">Parra </w:t>
      </w:r>
      <w:proofErr w:type="spellStart"/>
      <w:r>
        <w:t>M</w:t>
      </w:r>
      <w:r>
        <w:rPr>
          <w:color w:val="000000"/>
        </w:rPr>
        <w:t>ar</w:t>
      </w:r>
      <w:r>
        <w:t>t</w:t>
      </w:r>
      <w:r>
        <w:rPr>
          <w:color w:val="000000"/>
        </w:rPr>
        <w:t>i</w:t>
      </w:r>
      <w:r>
        <w:t>n</w:t>
      </w:r>
      <w:r>
        <w:rPr>
          <w:color w:val="000000"/>
        </w:rPr>
        <w:t>ez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color w:val="000000"/>
          <w:sz w:val="19"/>
          <w:szCs w:val="19"/>
        </w:rPr>
        <w:t>Unuversidad</w:t>
      </w:r>
      <w:proofErr w:type="spellEnd"/>
      <w:r>
        <w:rPr>
          <w:i/>
          <w:color w:val="000000"/>
          <w:sz w:val="19"/>
          <w:szCs w:val="19"/>
        </w:rPr>
        <w:t xml:space="preserve"> </w:t>
      </w:r>
      <w:proofErr w:type="spellStart"/>
      <w:r>
        <w:rPr>
          <w:i/>
          <w:color w:val="000000"/>
          <w:sz w:val="19"/>
          <w:szCs w:val="19"/>
        </w:rPr>
        <w:t>Tecnologica</w:t>
      </w:r>
      <w:proofErr w:type="spellEnd"/>
      <w:r>
        <w:rPr>
          <w:i/>
          <w:color w:val="000000"/>
          <w:sz w:val="19"/>
          <w:szCs w:val="19"/>
        </w:rPr>
        <w:t xml:space="preserve"> de Pereira </w:t>
      </w:r>
      <w:proofErr w:type="spellStart"/>
      <w:r>
        <w:rPr>
          <w:color w:val="000000"/>
          <w:sz w:val="18"/>
          <w:szCs w:val="18"/>
        </w:rPr>
        <w:t>Correo-e:</w:t>
      </w:r>
      <w:r>
        <w:rPr>
          <w:sz w:val="18"/>
          <w:szCs w:val="18"/>
        </w:rPr>
        <w:t>juan.parra</w:t>
      </w:r>
      <w:r>
        <w:rPr>
          <w:color w:val="000000"/>
          <w:sz w:val="18"/>
          <w:szCs w:val="18"/>
        </w:rPr>
        <w:t>@utp.edu.co</w:t>
      </w:r>
      <w:proofErr w:type="spellEnd"/>
      <w:r>
        <w:rPr>
          <w:color w:val="000000"/>
          <w:sz w:val="18"/>
          <w:szCs w:val="18"/>
        </w:rPr>
        <w:t xml:space="preserve"> </w:t>
      </w:r>
    </w:p>
    <w:p w14:paraId="00000004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3"/>
        <w:ind w:left="-455" w:right="-289" w:firstLine="657"/>
        <w:jc w:val="both"/>
        <w:rPr>
          <w:b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lastRenderedPageBreak/>
        <w:t>Resumen</w:t>
      </w:r>
      <w:r>
        <w:rPr>
          <w:b/>
          <w:color w:val="000000"/>
          <w:sz w:val="18"/>
          <w:szCs w:val="18"/>
        </w:rPr>
        <w:t>— El estándar del IEEE para aritmética en coma flotante (IEEE 754) es la norma o estándar técnico para computación en coma flotante, establecida en 1985 por el Instituto de Ingenieros Eléctricos y Electrónicos (IEEE). La norma abordó muchos problemas encon</w:t>
      </w:r>
      <w:r>
        <w:rPr>
          <w:b/>
          <w:color w:val="000000"/>
          <w:sz w:val="18"/>
          <w:szCs w:val="18"/>
        </w:rPr>
        <w:t xml:space="preserve">trados en las diversas implementaciones de coma flotante que las hacían difíciles de usar de forma fiable y portátil. Muchas unidades de coma flotante de hardware utilizan ahora el estándar IEEE 754. </w:t>
      </w:r>
    </w:p>
    <w:p w14:paraId="00000005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254" w:right="3084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El estándar define: </w:t>
      </w:r>
    </w:p>
    <w:p w14:paraId="00000006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95" w:right="-284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9"/>
          <w:szCs w:val="19"/>
        </w:rPr>
        <w:t xml:space="preserve">• </w:t>
      </w:r>
      <w:r>
        <w:rPr>
          <w:b/>
          <w:color w:val="000000"/>
          <w:sz w:val="18"/>
          <w:szCs w:val="18"/>
        </w:rPr>
        <w:t xml:space="preserve">Formatos aritméticos: conjuntos </w:t>
      </w:r>
      <w:r>
        <w:rPr>
          <w:b/>
          <w:color w:val="000000"/>
          <w:sz w:val="18"/>
          <w:szCs w:val="18"/>
        </w:rPr>
        <w:t xml:space="preserve">de datos de coma flotante binarios y decimales, que consisten en números finitos, incluidos los ceros con signo y los números </w:t>
      </w:r>
      <w:proofErr w:type="spellStart"/>
      <w:r>
        <w:rPr>
          <w:b/>
          <w:color w:val="000000"/>
          <w:sz w:val="18"/>
          <w:szCs w:val="18"/>
        </w:rPr>
        <w:t>desnormalizados</w:t>
      </w:r>
      <w:proofErr w:type="spellEnd"/>
      <w:r>
        <w:rPr>
          <w:b/>
          <w:color w:val="000000"/>
          <w:sz w:val="18"/>
          <w:szCs w:val="18"/>
        </w:rPr>
        <w:t xml:space="preserve"> o subnormales, infinitos y valores especiales "no numéricos" (</w:t>
      </w:r>
      <w:proofErr w:type="spellStart"/>
      <w:r>
        <w:rPr>
          <w:b/>
          <w:color w:val="000000"/>
          <w:sz w:val="18"/>
          <w:szCs w:val="18"/>
        </w:rPr>
        <w:t>NaN</w:t>
      </w:r>
      <w:proofErr w:type="spellEnd"/>
      <w:r>
        <w:rPr>
          <w:b/>
          <w:color w:val="000000"/>
          <w:sz w:val="18"/>
          <w:szCs w:val="18"/>
        </w:rPr>
        <w:t xml:space="preserve">). </w:t>
      </w:r>
    </w:p>
    <w:p w14:paraId="00000007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95" w:right="-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9"/>
          <w:szCs w:val="19"/>
        </w:rPr>
        <w:t xml:space="preserve">• </w:t>
      </w:r>
      <w:r>
        <w:rPr>
          <w:b/>
          <w:color w:val="000000"/>
          <w:sz w:val="18"/>
          <w:szCs w:val="18"/>
        </w:rPr>
        <w:t xml:space="preserve">Formatos de intercambio: codificaciones (cadenas de bits) que se pueden utilizar para intercambiar datos de coma flotante de forma eficiente y compacta. </w:t>
      </w:r>
    </w:p>
    <w:p w14:paraId="00000008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95" w:right="-284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9"/>
          <w:szCs w:val="19"/>
        </w:rPr>
        <w:t xml:space="preserve">• </w:t>
      </w:r>
      <w:r>
        <w:rPr>
          <w:b/>
          <w:color w:val="000000"/>
          <w:sz w:val="18"/>
          <w:szCs w:val="18"/>
        </w:rPr>
        <w:t>Reglas de redondeo: propiedades que deben satisfacerse al redondear los números durante las operacio</w:t>
      </w:r>
      <w:r>
        <w:rPr>
          <w:b/>
          <w:color w:val="000000"/>
          <w:sz w:val="18"/>
          <w:szCs w:val="18"/>
        </w:rPr>
        <w:t xml:space="preserve">nes aritméticas y las conversiones. </w:t>
      </w:r>
    </w:p>
    <w:p w14:paraId="00000009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95" w:right="-280"/>
        <w:rPr>
          <w:b/>
          <w:color w:val="000000"/>
          <w:sz w:val="18"/>
          <w:szCs w:val="18"/>
        </w:rPr>
      </w:pPr>
      <w:r>
        <w:rPr>
          <w:color w:val="000000"/>
          <w:sz w:val="19"/>
          <w:szCs w:val="19"/>
        </w:rPr>
        <w:t xml:space="preserve">• </w:t>
      </w:r>
      <w:r>
        <w:rPr>
          <w:b/>
          <w:color w:val="000000"/>
          <w:sz w:val="18"/>
          <w:szCs w:val="18"/>
        </w:rPr>
        <w:t xml:space="preserve">Operaciones: operaciones aritméticas y otras (como funciones trigonométricas) en formatos aritméticos. </w:t>
      </w:r>
    </w:p>
    <w:p w14:paraId="0000000A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95" w:right="-284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9"/>
          <w:szCs w:val="19"/>
        </w:rPr>
        <w:t xml:space="preserve">• </w:t>
      </w:r>
      <w:r>
        <w:rPr>
          <w:b/>
          <w:color w:val="000000"/>
          <w:sz w:val="18"/>
          <w:szCs w:val="18"/>
        </w:rPr>
        <w:t>Manejo de excepciones: indicaciones de condiciones excepcionales, tales como división por cero, desbordamiento,</w:t>
      </w:r>
      <w:r>
        <w:rPr>
          <w:b/>
          <w:color w:val="000000"/>
          <w:sz w:val="18"/>
          <w:szCs w:val="18"/>
        </w:rPr>
        <w:t xml:space="preserve"> etc. </w:t>
      </w:r>
    </w:p>
    <w:p w14:paraId="0000000B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-455" w:right="-28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 xml:space="preserve">Palabras clave— coma flotante, ingenieros, IEEE 754, binarios, decimales, números, codificaciones, </w:t>
      </w:r>
    </w:p>
    <w:p w14:paraId="0000000C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8"/>
        <w:ind w:left="-455" w:right="-284"/>
        <w:jc w:val="both"/>
        <w:rPr>
          <w:b/>
          <w:i/>
          <w:color w:val="000000"/>
          <w:sz w:val="18"/>
          <w:szCs w:val="18"/>
        </w:rPr>
      </w:pPr>
      <w:proofErr w:type="gramStart"/>
      <w:r>
        <w:rPr>
          <w:b/>
          <w:i/>
          <w:color w:val="000000"/>
          <w:sz w:val="18"/>
          <w:szCs w:val="18"/>
        </w:rPr>
        <w:lastRenderedPageBreak/>
        <w:t>operaciones</w:t>
      </w:r>
      <w:proofErr w:type="gramEnd"/>
      <w:r>
        <w:rPr>
          <w:b/>
          <w:i/>
          <w:color w:val="000000"/>
          <w:sz w:val="18"/>
          <w:szCs w:val="18"/>
        </w:rPr>
        <w:t xml:space="preserve">, aritmética, trigonometría, división, desbordamiento. </w:t>
      </w:r>
    </w:p>
    <w:p w14:paraId="0000000D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-455" w:right="-284" w:firstLine="657"/>
        <w:jc w:val="both"/>
        <w:rPr>
          <w:b/>
          <w:color w:val="000000"/>
          <w:sz w:val="18"/>
          <w:szCs w:val="18"/>
          <w:lang w:val="en-US"/>
        </w:rPr>
      </w:pPr>
      <w:r w:rsidRPr="00517254">
        <w:rPr>
          <w:b/>
          <w:i/>
          <w:color w:val="000000"/>
          <w:sz w:val="18"/>
          <w:szCs w:val="18"/>
          <w:lang w:val="en-US"/>
        </w:rPr>
        <w:t>Abstract</w:t>
      </w:r>
      <w:r w:rsidRPr="00517254">
        <w:rPr>
          <w:b/>
          <w:color w:val="000000"/>
          <w:sz w:val="18"/>
          <w:szCs w:val="18"/>
          <w:lang w:val="en-US"/>
        </w:rPr>
        <w:t>— The IEEE standard for floating-point arithmetic (IEEE 754) is the technical standard or standard for floating- point computing, established in 1985 by the Institute of Electrical and Electronic Engineers (IEEE). The standard addressed many problems encou</w:t>
      </w:r>
      <w:r w:rsidRPr="00517254">
        <w:rPr>
          <w:b/>
          <w:color w:val="000000"/>
          <w:sz w:val="18"/>
          <w:szCs w:val="18"/>
          <w:lang w:val="en-US"/>
        </w:rPr>
        <w:t xml:space="preserve">ntered in the various floating point implementations that made them difficult to use reliably and </w:t>
      </w:r>
      <w:proofErr w:type="spellStart"/>
      <w:r w:rsidRPr="00517254">
        <w:rPr>
          <w:b/>
          <w:color w:val="000000"/>
          <w:sz w:val="18"/>
          <w:szCs w:val="18"/>
          <w:lang w:val="en-US"/>
        </w:rPr>
        <w:t>portablely</w:t>
      </w:r>
      <w:proofErr w:type="spellEnd"/>
      <w:r w:rsidRPr="00517254">
        <w:rPr>
          <w:b/>
          <w:color w:val="000000"/>
          <w:sz w:val="18"/>
          <w:szCs w:val="18"/>
          <w:lang w:val="en-US"/>
        </w:rPr>
        <w:t xml:space="preserve">. Many hardware floating point units now use the IEEE 754 standard. </w:t>
      </w:r>
    </w:p>
    <w:p w14:paraId="0000000E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254" w:right="2864"/>
        <w:rPr>
          <w:b/>
          <w:color w:val="000000"/>
          <w:sz w:val="18"/>
          <w:szCs w:val="18"/>
          <w:lang w:val="en-US"/>
        </w:rPr>
      </w:pPr>
      <w:r w:rsidRPr="00517254">
        <w:rPr>
          <w:b/>
          <w:color w:val="000000"/>
          <w:sz w:val="18"/>
          <w:szCs w:val="18"/>
          <w:lang w:val="en-US"/>
        </w:rPr>
        <w:t xml:space="preserve">The standard </w:t>
      </w:r>
      <w:proofErr w:type="gramStart"/>
      <w:r w:rsidRPr="00517254">
        <w:rPr>
          <w:b/>
          <w:color w:val="000000"/>
          <w:sz w:val="18"/>
          <w:szCs w:val="18"/>
          <w:lang w:val="en-US"/>
        </w:rPr>
        <w:t>defines</w:t>
      </w:r>
      <w:proofErr w:type="gramEnd"/>
      <w:r w:rsidRPr="00517254">
        <w:rPr>
          <w:b/>
          <w:color w:val="000000"/>
          <w:sz w:val="18"/>
          <w:szCs w:val="18"/>
          <w:lang w:val="en-US"/>
        </w:rPr>
        <w:t xml:space="preserve">: </w:t>
      </w:r>
    </w:p>
    <w:p w14:paraId="0000000F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455" w:right="-284" w:firstLine="782"/>
        <w:jc w:val="both"/>
        <w:rPr>
          <w:b/>
          <w:color w:val="000000"/>
          <w:sz w:val="18"/>
          <w:szCs w:val="18"/>
          <w:lang w:val="en-US"/>
        </w:rPr>
      </w:pPr>
      <w:r w:rsidRPr="00517254">
        <w:rPr>
          <w:b/>
          <w:color w:val="000000"/>
          <w:sz w:val="18"/>
          <w:szCs w:val="18"/>
          <w:lang w:val="en-US"/>
        </w:rPr>
        <w:t xml:space="preserve">• Arithmetic formats: binary and decimal floating point data sets, consisting of finite numbers, including signed zeros and </w:t>
      </w:r>
      <w:proofErr w:type="spellStart"/>
      <w:r w:rsidRPr="00517254">
        <w:rPr>
          <w:b/>
          <w:color w:val="000000"/>
          <w:sz w:val="18"/>
          <w:szCs w:val="18"/>
          <w:lang w:val="en-US"/>
        </w:rPr>
        <w:t>denormalized</w:t>
      </w:r>
      <w:proofErr w:type="spellEnd"/>
      <w:r w:rsidRPr="00517254">
        <w:rPr>
          <w:b/>
          <w:color w:val="000000"/>
          <w:sz w:val="18"/>
          <w:szCs w:val="18"/>
          <w:lang w:val="en-US"/>
        </w:rPr>
        <w:t xml:space="preserve"> or subnormal numbers, infinities and special "non- numerical" (</w:t>
      </w:r>
      <w:proofErr w:type="spellStart"/>
      <w:r w:rsidRPr="00517254">
        <w:rPr>
          <w:b/>
          <w:color w:val="000000"/>
          <w:sz w:val="18"/>
          <w:szCs w:val="18"/>
          <w:lang w:val="en-US"/>
        </w:rPr>
        <w:t>NaN</w:t>
      </w:r>
      <w:proofErr w:type="spellEnd"/>
      <w:r w:rsidRPr="00517254">
        <w:rPr>
          <w:b/>
          <w:color w:val="000000"/>
          <w:sz w:val="18"/>
          <w:szCs w:val="18"/>
          <w:lang w:val="en-US"/>
        </w:rPr>
        <w:t xml:space="preserve">) values. </w:t>
      </w:r>
    </w:p>
    <w:p w14:paraId="00000010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455" w:right="-280" w:firstLine="763"/>
        <w:rPr>
          <w:b/>
          <w:color w:val="000000"/>
          <w:sz w:val="18"/>
          <w:szCs w:val="18"/>
          <w:lang w:val="en-US"/>
        </w:rPr>
      </w:pPr>
      <w:r w:rsidRPr="00517254">
        <w:rPr>
          <w:b/>
          <w:color w:val="000000"/>
          <w:sz w:val="18"/>
          <w:szCs w:val="18"/>
          <w:lang w:val="en-US"/>
        </w:rPr>
        <w:t>• Exchange formats: encodings (bit strings</w:t>
      </w:r>
      <w:r w:rsidRPr="00517254">
        <w:rPr>
          <w:b/>
          <w:color w:val="000000"/>
          <w:sz w:val="18"/>
          <w:szCs w:val="18"/>
          <w:lang w:val="en-US"/>
        </w:rPr>
        <w:t xml:space="preserve">) that can be used to exchange floating point data efficiently and compactly. </w:t>
      </w:r>
    </w:p>
    <w:p w14:paraId="00000011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455" w:right="-284" w:firstLine="820"/>
        <w:jc w:val="both"/>
        <w:rPr>
          <w:b/>
          <w:color w:val="000000"/>
          <w:sz w:val="18"/>
          <w:szCs w:val="18"/>
          <w:lang w:val="en-US"/>
        </w:rPr>
      </w:pPr>
      <w:r w:rsidRPr="00517254">
        <w:rPr>
          <w:b/>
          <w:color w:val="000000"/>
          <w:sz w:val="18"/>
          <w:szCs w:val="18"/>
          <w:lang w:val="en-US"/>
        </w:rPr>
        <w:t xml:space="preserve">• Rounding rules: properties that must be satisfied when rounding numbers during arithmetic operations and conversions. </w:t>
      </w:r>
    </w:p>
    <w:p w14:paraId="00000012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ind w:left="-280" w:right="-455" w:firstLine="625"/>
        <w:rPr>
          <w:b/>
          <w:color w:val="000000"/>
          <w:sz w:val="18"/>
          <w:szCs w:val="18"/>
          <w:lang w:val="en-US"/>
        </w:rPr>
      </w:pPr>
      <w:r w:rsidRPr="00517254">
        <w:rPr>
          <w:b/>
          <w:color w:val="000000"/>
          <w:sz w:val="18"/>
          <w:szCs w:val="18"/>
          <w:lang w:val="en-US"/>
        </w:rPr>
        <w:t xml:space="preserve">• Operations: arithmetic and other operations (such as trig functions) in arithmetic formats. </w:t>
      </w:r>
    </w:p>
    <w:p w14:paraId="00000013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280" w:right="-460" w:firstLine="395"/>
        <w:rPr>
          <w:b/>
          <w:color w:val="000000"/>
          <w:sz w:val="18"/>
          <w:szCs w:val="18"/>
          <w:lang w:val="en-US"/>
        </w:rPr>
      </w:pPr>
      <w:r w:rsidRPr="00517254">
        <w:rPr>
          <w:b/>
          <w:color w:val="000000"/>
          <w:sz w:val="18"/>
          <w:szCs w:val="18"/>
          <w:lang w:val="en-US"/>
        </w:rPr>
        <w:t xml:space="preserve">• Exception handling: indications of exceptional conditions, such as division by zero, overflow, etc. </w:t>
      </w:r>
    </w:p>
    <w:p w14:paraId="00000014" w14:textId="77777777" w:rsidR="00BB22EC" w:rsidRP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280" w:right="-455"/>
        <w:jc w:val="both"/>
        <w:rPr>
          <w:b/>
          <w:color w:val="000000"/>
          <w:sz w:val="18"/>
          <w:szCs w:val="18"/>
          <w:lang w:val="en-US"/>
        </w:rPr>
      </w:pPr>
      <w:r w:rsidRPr="00517254">
        <w:rPr>
          <w:b/>
          <w:i/>
          <w:color w:val="000000"/>
          <w:sz w:val="18"/>
          <w:szCs w:val="18"/>
          <w:lang w:val="en-US"/>
        </w:rPr>
        <w:t xml:space="preserve">Key Word </w:t>
      </w:r>
      <w:r w:rsidRPr="00517254">
        <w:rPr>
          <w:b/>
          <w:color w:val="000000"/>
          <w:sz w:val="18"/>
          <w:szCs w:val="18"/>
          <w:lang w:val="en-US"/>
        </w:rPr>
        <w:t xml:space="preserve">— floating point, engineers, IEEE 754, binaries, </w:t>
      </w:r>
      <w:r w:rsidRPr="00517254">
        <w:rPr>
          <w:b/>
          <w:color w:val="000000"/>
          <w:sz w:val="18"/>
          <w:szCs w:val="18"/>
          <w:lang w:val="en-US"/>
        </w:rPr>
        <w:t xml:space="preserve">decimals, numbers, encodings, operations, arithmetic, trigonometry, division, overflow. </w:t>
      </w:r>
    </w:p>
    <w:p w14:paraId="658DDD31" w14:textId="77777777" w:rsidR="00517254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1543" w:right="1367"/>
        <w:rPr>
          <w:color w:val="000000"/>
          <w:sz w:val="18"/>
          <w:szCs w:val="18"/>
        </w:rPr>
      </w:pPr>
    </w:p>
    <w:p w14:paraId="00000015" w14:textId="4D9A283F" w:rsidR="00BB22EC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36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INTRODUCCIO</w:t>
      </w:r>
      <w:r>
        <w:rPr>
          <w:color w:val="000000"/>
          <w:sz w:val="18"/>
          <w:szCs w:val="18"/>
        </w:rPr>
        <w:t xml:space="preserve">N </w:t>
      </w:r>
    </w:p>
    <w:p w14:paraId="00000016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280" w:right="-460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Como la memoria de los ordenadores es limitada, no puedes almacenar números con precisión infinita, no importa si usas fracciones binarias o decimales: en algún momento tienes que cortar. Pero ¿cuánta precisión se necesita? ¿Y </w:t>
      </w:r>
      <w:r>
        <w:rPr>
          <w:i/>
          <w:color w:val="000000"/>
          <w:sz w:val="19"/>
          <w:szCs w:val="19"/>
        </w:rPr>
        <w:t xml:space="preserve">dónde </w:t>
      </w:r>
      <w:r>
        <w:rPr>
          <w:color w:val="000000"/>
          <w:sz w:val="19"/>
          <w:szCs w:val="19"/>
        </w:rPr>
        <w:t>se necesita? ¿Cuántos d</w:t>
      </w:r>
      <w:r>
        <w:rPr>
          <w:color w:val="000000"/>
          <w:sz w:val="19"/>
          <w:szCs w:val="19"/>
        </w:rPr>
        <w:t xml:space="preserve">ígitos enteros y cuántos fraccionarios? </w:t>
      </w:r>
    </w:p>
    <w:p w14:paraId="00000017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80" w:right="-460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▪</w:t>
      </w:r>
      <w:r>
        <w:rPr>
          <w:color w:val="000000"/>
          <w:sz w:val="19"/>
          <w:szCs w:val="19"/>
        </w:rPr>
        <w:t xml:space="preserve"> Para un ingeniero construyendo una autopista, no importa si tiene 10 metros o 10.0001 metros de ancho ─ posiblemente ni siquiera sus mediciones eran así de precisas. </w:t>
      </w:r>
    </w:p>
    <w:p w14:paraId="00000018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/>
        <w:ind w:left="80" w:right="-460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▪</w:t>
      </w:r>
      <w:r>
        <w:rPr>
          <w:color w:val="000000"/>
          <w:sz w:val="19"/>
          <w:szCs w:val="19"/>
        </w:rPr>
        <w:t xml:space="preserve"> Para alguien diseñando un microchip, 0.0001 metros (la décima parte de un milímetro) es una diferencia </w:t>
      </w:r>
      <w:r>
        <w:rPr>
          <w:i/>
          <w:color w:val="000000"/>
          <w:sz w:val="19"/>
          <w:szCs w:val="19"/>
        </w:rPr>
        <w:t xml:space="preserve">enorme </w:t>
      </w:r>
      <w:r>
        <w:rPr>
          <w:color w:val="000000"/>
          <w:sz w:val="19"/>
          <w:szCs w:val="19"/>
        </w:rPr>
        <w:t xml:space="preserve">─ pero nunca tendrá que manejar distancias mayores de 0.1 metros. </w:t>
      </w:r>
    </w:p>
    <w:p w14:paraId="00000019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/>
        <w:ind w:left="-280" w:right="-47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▪</w:t>
      </w:r>
      <w:r>
        <w:rPr>
          <w:color w:val="000000"/>
          <w:sz w:val="19"/>
          <w:szCs w:val="19"/>
        </w:rPr>
        <w:t xml:space="preserve"> Un físico necesita usar la velocidad de la luz (más o menos 300000000) y la</w:t>
      </w:r>
      <w:r>
        <w:rPr>
          <w:color w:val="000000"/>
          <w:sz w:val="19"/>
          <w:szCs w:val="19"/>
        </w:rPr>
        <w:t xml:space="preserve"> constante de gravitación universal (más o menos 0.0000000000667) juntas en el mismo cálculo. Para satisfacer al ingeniero y al diseñador de circuitos integrados, el formato tiene que ser preciso para números de órdenes de magnitud muy diferentes. Sin emba</w:t>
      </w:r>
      <w:r>
        <w:rPr>
          <w:color w:val="000000"/>
          <w:sz w:val="19"/>
          <w:szCs w:val="19"/>
        </w:rPr>
        <w:t xml:space="preserve">rgo, solo se necesita precisión </w:t>
      </w:r>
      <w:r>
        <w:rPr>
          <w:i/>
          <w:color w:val="000000"/>
          <w:sz w:val="19"/>
          <w:szCs w:val="19"/>
        </w:rPr>
        <w:t>relativa</w:t>
      </w:r>
      <w:r>
        <w:rPr>
          <w:color w:val="000000"/>
          <w:sz w:val="19"/>
          <w:szCs w:val="19"/>
        </w:rPr>
        <w:t>. Para satisfacer al físico, debe ser posible hacer cálculos que involucren números de órdenes muy dispares. Básicamente, tener un número fijo de dígitos enteros y fraccionarios no es útil ─ y la solución es un forma</w:t>
      </w:r>
      <w:r>
        <w:rPr>
          <w:color w:val="000000"/>
          <w:sz w:val="19"/>
          <w:szCs w:val="19"/>
        </w:rPr>
        <w:t xml:space="preserve">to con un </w:t>
      </w:r>
      <w:r>
        <w:rPr>
          <w:i/>
          <w:color w:val="000000"/>
          <w:sz w:val="19"/>
          <w:szCs w:val="19"/>
        </w:rPr>
        <w:t>punto flotante</w:t>
      </w:r>
      <w:r>
        <w:rPr>
          <w:color w:val="000000"/>
          <w:sz w:val="19"/>
          <w:szCs w:val="19"/>
        </w:rPr>
        <w:t xml:space="preserve">. </w:t>
      </w:r>
    </w:p>
    <w:p w14:paraId="0000001A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280" w:right="566" w:firstLine="136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I. CONTENIDO </w:t>
      </w:r>
      <w:r>
        <w:rPr>
          <w:b/>
          <w:color w:val="000000"/>
          <w:sz w:val="19"/>
          <w:szCs w:val="19"/>
        </w:rPr>
        <w:t xml:space="preserve">Cómo funcionan los números de punto flotante </w:t>
      </w:r>
      <w:r>
        <w:rPr>
          <w:color w:val="000000"/>
          <w:sz w:val="19"/>
          <w:szCs w:val="19"/>
        </w:rPr>
        <w:t xml:space="preserve">La idea es descomponer el número en dos partes: </w:t>
      </w:r>
    </w:p>
    <w:p w14:paraId="0000001B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80" w:right="-460"/>
        <w:jc w:val="both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▪</w:t>
      </w:r>
      <w:r>
        <w:rPr>
          <w:color w:val="000000"/>
          <w:sz w:val="19"/>
          <w:szCs w:val="19"/>
        </w:rPr>
        <w:t xml:space="preserve"> Una </w:t>
      </w:r>
      <w:r>
        <w:rPr>
          <w:b/>
          <w:color w:val="000000"/>
          <w:sz w:val="19"/>
          <w:szCs w:val="19"/>
        </w:rPr>
        <w:t xml:space="preserve">mantisa </w:t>
      </w:r>
      <w:r>
        <w:rPr>
          <w:color w:val="000000"/>
          <w:sz w:val="19"/>
          <w:szCs w:val="19"/>
        </w:rPr>
        <w:t xml:space="preserve">(también llamada coeficiente o significando) que contiene los dígitos del número. Mantisas negativas representan números negativos. </w:t>
      </w:r>
    </w:p>
    <w:p w14:paraId="0000001C" w14:textId="77777777" w:rsidR="00BB22EC" w:rsidRDefault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80" w:right="-46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▪</w:t>
      </w:r>
      <w:r>
        <w:rPr>
          <w:color w:val="000000"/>
          <w:sz w:val="19"/>
          <w:szCs w:val="19"/>
        </w:rPr>
        <w:t xml:space="preserve"> Un </w:t>
      </w:r>
      <w:r>
        <w:rPr>
          <w:b/>
          <w:color w:val="000000"/>
          <w:sz w:val="19"/>
          <w:szCs w:val="19"/>
        </w:rPr>
        <w:t xml:space="preserve">exponente </w:t>
      </w:r>
      <w:r>
        <w:rPr>
          <w:color w:val="000000"/>
          <w:sz w:val="19"/>
          <w:szCs w:val="19"/>
        </w:rPr>
        <w:t>que indica dónde se coloca el punto decimal (o binario) en relación al inicio de la</w:t>
      </w:r>
    </w:p>
    <w:p w14:paraId="0000001D" w14:textId="77777777" w:rsidR="00BB22EC" w:rsidRDefault="00BB22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80" w:right="-460"/>
        <w:rPr>
          <w:sz w:val="19"/>
          <w:szCs w:val="19"/>
        </w:rPr>
      </w:pPr>
    </w:p>
    <w:p w14:paraId="0000001E" w14:textId="77777777" w:rsidR="00BB22EC" w:rsidRDefault="00517254">
      <w:pPr>
        <w:widowControl w:val="0"/>
        <w:rPr>
          <w:sz w:val="33"/>
          <w:szCs w:val="33"/>
          <w:vertAlign w:val="subscript"/>
        </w:rPr>
      </w:pPr>
      <w:r>
        <w:rPr>
          <w:sz w:val="16"/>
          <w:szCs w:val="16"/>
        </w:rPr>
        <w:t xml:space="preserve">Representación </w:t>
      </w:r>
      <w:r>
        <w:rPr>
          <w:sz w:val="33"/>
          <w:szCs w:val="33"/>
          <w:vertAlign w:val="subscript"/>
        </w:rPr>
        <w:t xml:space="preserve">2 </w:t>
      </w:r>
    </w:p>
    <w:p w14:paraId="0000001F" w14:textId="77777777" w:rsidR="00BB22EC" w:rsidRDefault="00517254">
      <w:pPr>
        <w:widowControl w:val="0"/>
        <w:rPr>
          <w:sz w:val="19"/>
          <w:szCs w:val="19"/>
        </w:rPr>
      </w:pPr>
      <w:proofErr w:type="gramStart"/>
      <w:r>
        <w:rPr>
          <w:sz w:val="16"/>
          <w:szCs w:val="16"/>
        </w:rPr>
        <w:t>punto</w:t>
      </w:r>
      <w:proofErr w:type="gramEnd"/>
      <w:r>
        <w:rPr>
          <w:sz w:val="16"/>
          <w:szCs w:val="16"/>
        </w:rPr>
        <w:t xml:space="preserve"> flotante – Introducción a la informática </w:t>
      </w:r>
      <w:r>
        <w:rPr>
          <w:sz w:val="19"/>
          <w:szCs w:val="19"/>
        </w:rPr>
        <w:t xml:space="preserve">mantisa. Exponentes negativos representan números menores que uno. Este formato cumple todos los requisitos: </w:t>
      </w:r>
    </w:p>
    <w:p w14:paraId="00000020" w14:textId="77777777" w:rsidR="00BB22EC" w:rsidRDefault="00517254">
      <w:pPr>
        <w:widowControl w:val="0"/>
        <w:jc w:val="both"/>
        <w:rPr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Puede representar números de órdenes de magnitud enormemente dispares (limitado por la longitud del ex</w:t>
      </w:r>
      <w:r>
        <w:rPr>
          <w:sz w:val="19"/>
          <w:szCs w:val="19"/>
        </w:rPr>
        <w:t xml:space="preserve">ponente). </w:t>
      </w:r>
    </w:p>
    <w:p w14:paraId="00000021" w14:textId="77777777" w:rsidR="00BB22EC" w:rsidRDefault="00517254">
      <w:pPr>
        <w:widowControl w:val="0"/>
        <w:rPr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Proporciona la misma precisión relativa para todos los órdenes (limitado por la longitud de la </w:t>
      </w:r>
      <w:r>
        <w:rPr>
          <w:sz w:val="19"/>
          <w:szCs w:val="19"/>
        </w:rPr>
        <w:lastRenderedPageBreak/>
        <w:t xml:space="preserve">mantisa). </w:t>
      </w:r>
    </w:p>
    <w:p w14:paraId="00000022" w14:textId="77777777" w:rsidR="00BB22EC" w:rsidRDefault="00517254">
      <w:pPr>
        <w:widowControl w:val="0"/>
        <w:rPr>
          <w:i/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Permite cálculos entre magnitudes: multiplicar un número muy grande y uno muy pequeño conserva la precisión de ambos en el resultado. L</w:t>
      </w:r>
      <w:r>
        <w:rPr>
          <w:sz w:val="19"/>
          <w:szCs w:val="19"/>
        </w:rPr>
        <w:t xml:space="preserve">os números de coma flotante decimales normalmente se expresan en notación científica con un punto explícito siempre entre el primer y el segundo dígitos. El exponente o bien se escribe explícitamente incluyendo la base, o se usa una </w:t>
      </w:r>
      <w:r>
        <w:rPr>
          <w:b/>
          <w:sz w:val="19"/>
          <w:szCs w:val="19"/>
        </w:rPr>
        <w:t xml:space="preserve">e </w:t>
      </w:r>
      <w:r>
        <w:rPr>
          <w:sz w:val="19"/>
          <w:szCs w:val="19"/>
        </w:rPr>
        <w:t xml:space="preserve">para separarlo de la mantisa. </w:t>
      </w:r>
      <w:r>
        <w:rPr>
          <w:i/>
          <w:sz w:val="19"/>
          <w:szCs w:val="19"/>
        </w:rPr>
        <w:t xml:space="preserve">(Ver tabla 1) </w:t>
      </w:r>
    </w:p>
    <w:p w14:paraId="00000023" w14:textId="77777777" w:rsidR="00BB22EC" w:rsidRDefault="00517254">
      <w:pPr>
        <w:widowControl w:val="0"/>
        <w:rPr>
          <w:sz w:val="33"/>
          <w:szCs w:val="33"/>
          <w:vertAlign w:val="subscript"/>
        </w:rPr>
      </w:pPr>
      <w:r>
        <w:rPr>
          <w:b/>
          <w:sz w:val="19"/>
          <w:szCs w:val="19"/>
        </w:rPr>
        <w:t xml:space="preserve">El estándar </w:t>
      </w:r>
      <w:r>
        <w:rPr>
          <w:sz w:val="19"/>
          <w:szCs w:val="19"/>
        </w:rPr>
        <w:t>Casi todo el hardware y lenguajes de programación utilizan números de punto flotante en los mismos formatos binarios, que están definidos en el estándar IEEE 754. Los formatos más comunes son de 32 o</w:t>
      </w:r>
      <w:r>
        <w:rPr>
          <w:sz w:val="19"/>
          <w:szCs w:val="19"/>
        </w:rPr>
        <w:t xml:space="preserve"> 64 bits de longitud total: </w:t>
      </w:r>
      <w:r>
        <w:rPr>
          <w:i/>
          <w:sz w:val="19"/>
          <w:szCs w:val="19"/>
        </w:rPr>
        <w:t xml:space="preserve">(Ver tabla 2) </w:t>
      </w:r>
      <w:r>
        <w:rPr>
          <w:sz w:val="33"/>
          <w:szCs w:val="33"/>
          <w:vertAlign w:val="subscript"/>
        </w:rPr>
        <w:t xml:space="preserve">Hay algunas peculiaridades: </w:t>
      </w:r>
    </w:p>
    <w:p w14:paraId="00000024" w14:textId="77777777" w:rsidR="00BB22EC" w:rsidRDefault="00517254">
      <w:pPr>
        <w:widowControl w:val="0"/>
        <w:jc w:val="both"/>
        <w:rPr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La </w:t>
      </w:r>
      <w:r>
        <w:rPr>
          <w:i/>
          <w:sz w:val="19"/>
          <w:szCs w:val="19"/>
        </w:rPr>
        <w:t xml:space="preserve">secuencia de bits </w:t>
      </w:r>
      <w:r>
        <w:rPr>
          <w:sz w:val="19"/>
          <w:szCs w:val="19"/>
        </w:rPr>
        <w:t xml:space="preserve">es primero el bit del signo, seguido del exponente y finalmente los bits significativos. </w:t>
      </w:r>
    </w:p>
    <w:p w14:paraId="00000025" w14:textId="77777777" w:rsidR="00BB22EC" w:rsidRDefault="00517254">
      <w:pPr>
        <w:widowControl w:val="0"/>
        <w:jc w:val="both"/>
        <w:rPr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El exponente no tiene signo; en su lugar se le resta un </w:t>
      </w:r>
      <w:r>
        <w:rPr>
          <w:b/>
          <w:sz w:val="19"/>
          <w:szCs w:val="19"/>
        </w:rPr>
        <w:t>desplazamiento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(127 para sencilla y 1023 para doble precisión). Esto, junto con la secuencia de bits, permite que los números de punto flotante se puedan comparar y ordenar correctamente incluso cuando se interpretan como enteros. </w:t>
      </w:r>
    </w:p>
    <w:p w14:paraId="00000026" w14:textId="77777777" w:rsidR="00BB22EC" w:rsidRDefault="00517254">
      <w:pPr>
        <w:widowControl w:val="0"/>
        <w:rPr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Se asume que el bit más significativ</w:t>
      </w:r>
      <w:r>
        <w:rPr>
          <w:sz w:val="19"/>
          <w:szCs w:val="19"/>
        </w:rPr>
        <w:t xml:space="preserve">o de la mantisa es 1 y se omite, excepto para casos especiales. </w:t>
      </w:r>
    </w:p>
    <w:p w14:paraId="00000027" w14:textId="77777777" w:rsidR="00BB22EC" w:rsidRDefault="00517254">
      <w:pPr>
        <w:widowControl w:val="0"/>
        <w:jc w:val="both"/>
        <w:rPr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Hay valores diferentes para </w:t>
      </w:r>
      <w:r>
        <w:rPr>
          <w:b/>
          <w:sz w:val="19"/>
          <w:szCs w:val="19"/>
        </w:rPr>
        <w:t>cero positivo y cero negativo</w:t>
      </w:r>
      <w:r>
        <w:rPr>
          <w:sz w:val="19"/>
          <w:szCs w:val="19"/>
        </w:rPr>
        <w:t>. Estos difieren en el bit del signo, mientras que todos los demás son 0. Deben ser considerados iguales aunque sus secuencias de bi</w:t>
      </w:r>
      <w:r>
        <w:rPr>
          <w:sz w:val="19"/>
          <w:szCs w:val="19"/>
        </w:rPr>
        <w:t xml:space="preserve">ts sean diferentes. </w:t>
      </w:r>
    </w:p>
    <w:p w14:paraId="00000028" w14:textId="77777777" w:rsidR="00BB22EC" w:rsidRDefault="00517254">
      <w:pPr>
        <w:widowControl w:val="0"/>
        <w:jc w:val="both"/>
        <w:rPr>
          <w:sz w:val="19"/>
          <w:szCs w:val="19"/>
        </w:rPr>
      </w:pPr>
      <w:r>
        <w:rPr>
          <w:sz w:val="19"/>
          <w:szCs w:val="19"/>
        </w:rPr>
        <w:t>▪</w:t>
      </w:r>
      <w:r>
        <w:rPr>
          <w:sz w:val="19"/>
          <w:szCs w:val="19"/>
        </w:rPr>
        <w:t xml:space="preserve"> Hay valores especiales </w:t>
      </w:r>
      <w:r>
        <w:rPr>
          <w:b/>
          <w:sz w:val="19"/>
          <w:szCs w:val="19"/>
        </w:rPr>
        <w:t xml:space="preserve">no numéricos </w:t>
      </w:r>
      <w:r>
        <w:rPr>
          <w:sz w:val="19"/>
          <w:szCs w:val="19"/>
        </w:rPr>
        <w:t>(</w:t>
      </w:r>
      <w:proofErr w:type="spellStart"/>
      <w:r>
        <w:rPr>
          <w:sz w:val="19"/>
          <w:szCs w:val="19"/>
        </w:rPr>
        <w:t>NaN</w:t>
      </w:r>
      <w:proofErr w:type="spellEnd"/>
      <w:r>
        <w:rPr>
          <w:sz w:val="19"/>
          <w:szCs w:val="19"/>
        </w:rPr>
        <w:t>, «</w:t>
      </w:r>
      <w:proofErr w:type="spellStart"/>
      <w:r>
        <w:rPr>
          <w:sz w:val="19"/>
          <w:szCs w:val="19"/>
        </w:rPr>
        <w:t>not</w:t>
      </w:r>
      <w:proofErr w:type="spellEnd"/>
      <w:r>
        <w:rPr>
          <w:sz w:val="19"/>
          <w:szCs w:val="19"/>
        </w:rPr>
        <w:t xml:space="preserve"> a </w:t>
      </w:r>
      <w:proofErr w:type="spellStart"/>
      <w:r>
        <w:rPr>
          <w:sz w:val="19"/>
          <w:szCs w:val="19"/>
        </w:rPr>
        <w:t>number</w:t>
      </w:r>
      <w:proofErr w:type="spellEnd"/>
      <w:r>
        <w:rPr>
          <w:sz w:val="19"/>
          <w:szCs w:val="19"/>
        </w:rPr>
        <w:t xml:space="preserve">» en inglés) en los que el exponente es todo unos y la mantisa </w:t>
      </w:r>
      <w:r>
        <w:rPr>
          <w:i/>
          <w:sz w:val="19"/>
          <w:szCs w:val="19"/>
        </w:rPr>
        <w:t xml:space="preserve">no </w:t>
      </w:r>
      <w:r>
        <w:rPr>
          <w:sz w:val="19"/>
          <w:szCs w:val="19"/>
        </w:rPr>
        <w:t>es todo ceros. Estos valores representan el resultado de algunas operaciones indefinidas (como multiplicar 0 por</w:t>
      </w:r>
      <w:r>
        <w:rPr>
          <w:sz w:val="19"/>
          <w:szCs w:val="19"/>
        </w:rPr>
        <w:t xml:space="preserve"> infinito, operaciones que involucren </w:t>
      </w:r>
      <w:proofErr w:type="spellStart"/>
      <w:r>
        <w:rPr>
          <w:sz w:val="19"/>
          <w:szCs w:val="19"/>
        </w:rPr>
        <w:t>NaN</w:t>
      </w:r>
      <w:proofErr w:type="spellEnd"/>
      <w:r>
        <w:rPr>
          <w:sz w:val="19"/>
          <w:szCs w:val="19"/>
        </w:rPr>
        <w:t xml:space="preserve">, o casos específicos). Incluso valores </w:t>
      </w:r>
      <w:proofErr w:type="spellStart"/>
      <w:r>
        <w:rPr>
          <w:sz w:val="19"/>
          <w:szCs w:val="19"/>
        </w:rPr>
        <w:t>NaN</w:t>
      </w:r>
      <w:proofErr w:type="spellEnd"/>
      <w:r>
        <w:rPr>
          <w:sz w:val="19"/>
          <w:szCs w:val="19"/>
        </w:rPr>
        <w:t xml:space="preserve"> con idéntica secuencia de bits </w:t>
      </w:r>
      <w:r>
        <w:rPr>
          <w:i/>
          <w:sz w:val="19"/>
          <w:szCs w:val="19"/>
        </w:rPr>
        <w:t xml:space="preserve">no </w:t>
      </w:r>
      <w:r>
        <w:rPr>
          <w:sz w:val="19"/>
          <w:szCs w:val="19"/>
        </w:rPr>
        <w:t xml:space="preserve">deben ser considerados iguales. </w:t>
      </w:r>
    </w:p>
    <w:p w14:paraId="00000029" w14:textId="77777777" w:rsidR="00BB22EC" w:rsidRDefault="00517254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Mantisa Exponente </w:t>
      </w:r>
      <w:r>
        <w:rPr>
          <w:b/>
          <w:sz w:val="33"/>
          <w:szCs w:val="33"/>
          <w:vertAlign w:val="superscript"/>
        </w:rPr>
        <w:t xml:space="preserve">Notación </w:t>
      </w:r>
      <w:r>
        <w:rPr>
          <w:b/>
          <w:sz w:val="19"/>
          <w:szCs w:val="19"/>
        </w:rPr>
        <w:t xml:space="preserve">científica </w:t>
      </w:r>
    </w:p>
    <w:p w14:paraId="0000002A" w14:textId="77777777" w:rsidR="00BB22EC" w:rsidRDefault="00517254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Valor en punto fijo </w:t>
      </w:r>
    </w:p>
    <w:p w14:paraId="0000002B" w14:textId="77777777" w:rsidR="00BB22EC" w:rsidRDefault="00517254">
      <w:pPr>
        <w:widowControl w:val="0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>1.5 4 1.5 ⋅ 10</w:t>
      </w:r>
      <w:r>
        <w:rPr>
          <w:sz w:val="21"/>
          <w:szCs w:val="21"/>
          <w:vertAlign w:val="superscript"/>
        </w:rPr>
        <w:t xml:space="preserve">4 </w:t>
      </w:r>
      <w:r>
        <w:rPr>
          <w:sz w:val="19"/>
          <w:szCs w:val="19"/>
        </w:rPr>
        <w:t xml:space="preserve">15000 </w:t>
      </w:r>
    </w:p>
    <w:p w14:paraId="0000002C" w14:textId="77777777" w:rsidR="00BB22EC" w:rsidRDefault="00517254">
      <w:pPr>
        <w:widowControl w:val="0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>-2.001 2 -2.001 ⋅ 10</w:t>
      </w:r>
      <w:r>
        <w:rPr>
          <w:sz w:val="21"/>
          <w:szCs w:val="21"/>
          <w:vertAlign w:val="superscript"/>
        </w:rPr>
        <w:t xml:space="preserve">2 </w:t>
      </w:r>
      <w:r>
        <w:rPr>
          <w:sz w:val="19"/>
          <w:szCs w:val="19"/>
        </w:rPr>
        <w:t xml:space="preserve">-200.1 </w:t>
      </w:r>
    </w:p>
    <w:p w14:paraId="0000002D" w14:textId="77777777" w:rsidR="00BB22EC" w:rsidRDefault="00517254">
      <w:pPr>
        <w:widowControl w:val="0"/>
        <w:rPr>
          <w:sz w:val="19"/>
          <w:szCs w:val="19"/>
        </w:rPr>
      </w:pPr>
      <w:r>
        <w:rPr>
          <w:rFonts w:ascii="Arial Unicode MS" w:eastAsia="Arial Unicode MS" w:hAnsi="Arial Unicode MS" w:cs="Arial Unicode MS"/>
          <w:sz w:val="19"/>
          <w:szCs w:val="19"/>
        </w:rPr>
        <w:t>5 -3 5 ⋅ 10</w:t>
      </w:r>
      <w:r>
        <w:rPr>
          <w:sz w:val="21"/>
          <w:szCs w:val="21"/>
          <w:vertAlign w:val="superscript"/>
        </w:rPr>
        <w:t xml:space="preserve">-3 </w:t>
      </w:r>
      <w:r>
        <w:rPr>
          <w:sz w:val="19"/>
          <w:szCs w:val="19"/>
        </w:rPr>
        <w:t xml:space="preserve">0.005 </w:t>
      </w:r>
    </w:p>
    <w:p w14:paraId="0000002E" w14:textId="77777777" w:rsidR="00BB22EC" w:rsidRDefault="00517254">
      <w:pPr>
        <w:widowControl w:val="0"/>
        <w:rPr>
          <w:sz w:val="19"/>
          <w:szCs w:val="19"/>
        </w:rPr>
      </w:pPr>
      <w:r>
        <w:rPr>
          <w:sz w:val="19"/>
          <w:szCs w:val="19"/>
        </w:rPr>
        <w:t xml:space="preserve">6.667 -11 6.667e-11 0.0000000000667 </w:t>
      </w:r>
    </w:p>
    <w:p w14:paraId="03458308" w14:textId="217CB46C" w:rsidR="00517254" w:rsidRDefault="00517254">
      <w:pPr>
        <w:widowControl w:val="0"/>
        <w:rPr>
          <w:sz w:val="19"/>
          <w:szCs w:val="19"/>
        </w:rPr>
      </w:pPr>
      <w:r>
        <w:rPr>
          <w:noProof/>
          <w:sz w:val="19"/>
          <w:szCs w:val="19"/>
        </w:rPr>
        <w:lastRenderedPageBreak/>
        <w:drawing>
          <wp:inline distT="0" distB="0" distL="0" distR="0" wp14:anchorId="48225758" wp14:editId="13EB195F">
            <wp:extent cx="2559685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EEE-75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18" cy="186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013E" w14:textId="6024FAA6" w:rsidR="00517254" w:rsidRPr="00517254" w:rsidRDefault="00517254">
      <w:pPr>
        <w:widowControl w:val="0"/>
      </w:pPr>
      <w:r>
        <w:rPr>
          <w:sz w:val="19"/>
          <w:szCs w:val="19"/>
        </w:rPr>
        <w:t>TABLA 1:</w:t>
      </w:r>
      <w:r w:rsidRPr="00517254">
        <w:t xml:space="preserve"> </w:t>
      </w:r>
      <w:r w:rsidRPr="00517254">
        <w:rPr>
          <w:sz w:val="19"/>
          <w:szCs w:val="19"/>
        </w:rPr>
        <w:t>https://www.google.com/url?sa=i&amp;url=http%3A%2F%2Fwww.puntoflotante.net%2FIEEE-754.htm&amp;psig=AOvVaw10XOIPLOks_Tt2-Np8_bBX&amp;ust=1585191291542000&amp;source=images&amp;cd=vfe&amp;ved=0CAIQjRxqFwoTCODCjvPPtOgCFQAAAAAdAAAAABAH</w:t>
      </w:r>
      <w:bookmarkStart w:id="0" w:name="_GoBack"/>
      <w:bookmarkEnd w:id="0"/>
    </w:p>
    <w:p w14:paraId="00000031" w14:textId="77777777" w:rsidR="00BB22EC" w:rsidRDefault="00517254">
      <w:pPr>
        <w:widowControl w:val="0"/>
        <w:rPr>
          <w:sz w:val="19"/>
          <w:szCs w:val="19"/>
        </w:rPr>
      </w:pPr>
      <w:r>
        <w:rPr>
          <w:sz w:val="19"/>
          <w:szCs w:val="19"/>
        </w:rPr>
        <w:t xml:space="preserve">II. CONCLUSIONES </w:t>
      </w:r>
    </w:p>
    <w:p w14:paraId="00000032" w14:textId="77777777" w:rsidR="00BB22EC" w:rsidRDefault="00517254">
      <w:pPr>
        <w:widowControl w:val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La </w:t>
      </w:r>
      <w:proofErr w:type="spellStart"/>
      <w:r>
        <w:rPr>
          <w:sz w:val="19"/>
          <w:szCs w:val="19"/>
        </w:rPr>
        <w:t>Representacion</w:t>
      </w:r>
      <w:proofErr w:type="spellEnd"/>
      <w:r>
        <w:rPr>
          <w:sz w:val="19"/>
          <w:szCs w:val="19"/>
        </w:rPr>
        <w:t xml:space="preserve"> punto </w:t>
      </w:r>
      <w:proofErr w:type="spellStart"/>
      <w:r>
        <w:rPr>
          <w:sz w:val="19"/>
          <w:szCs w:val="19"/>
        </w:rPr>
        <w:t>flotanto</w:t>
      </w:r>
      <w:proofErr w:type="spellEnd"/>
      <w:r>
        <w:rPr>
          <w:sz w:val="19"/>
          <w:szCs w:val="19"/>
        </w:rPr>
        <w:t xml:space="preserve"> es un método de representación de números de </w:t>
      </w:r>
      <w:r>
        <w:rPr>
          <w:sz w:val="19"/>
          <w:szCs w:val="19"/>
        </w:rPr>
        <w:t xml:space="preserve">gran cantidad infinitamente grandes en los que podemos acaparar una infinidad de información en un espacio relativamente </w:t>
      </w:r>
      <w:proofErr w:type="spellStart"/>
      <w:r>
        <w:rPr>
          <w:sz w:val="19"/>
          <w:szCs w:val="19"/>
        </w:rPr>
        <w:t>reduciod</w:t>
      </w:r>
      <w:proofErr w:type="spellEnd"/>
      <w:r>
        <w:rPr>
          <w:sz w:val="19"/>
          <w:szCs w:val="19"/>
        </w:rPr>
        <w:t xml:space="preserve"> utilizando técnicas aritméticas y trigonométricas para llevar algo muy grande a algo reducido. </w:t>
      </w:r>
    </w:p>
    <w:p w14:paraId="00000033" w14:textId="77777777" w:rsidR="00BB22EC" w:rsidRDefault="00517254">
      <w:pPr>
        <w:widowControl w:val="0"/>
        <w:rPr>
          <w:sz w:val="19"/>
          <w:szCs w:val="19"/>
        </w:rPr>
      </w:pPr>
      <w:r>
        <w:rPr>
          <w:sz w:val="19"/>
          <w:szCs w:val="19"/>
        </w:rPr>
        <w:t xml:space="preserve">REFERENCIAS </w:t>
      </w:r>
    </w:p>
    <w:p w14:paraId="00000034" w14:textId="77777777" w:rsidR="00BB22EC" w:rsidRDefault="00517254">
      <w:pPr>
        <w:widowControl w:val="0"/>
        <w:rPr>
          <w:sz w:val="19"/>
          <w:szCs w:val="19"/>
        </w:rPr>
      </w:pPr>
      <w:r>
        <w:rPr>
          <w:sz w:val="19"/>
          <w:szCs w:val="19"/>
        </w:rPr>
        <w:t xml:space="preserve">Referencias de publicaciones periódicas: </w:t>
      </w:r>
    </w:p>
    <w:p w14:paraId="00000035" w14:textId="77777777" w:rsidR="00BB22EC" w:rsidRDefault="00BB22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</w:p>
    <w:p w14:paraId="6E64364A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1. http://puntoflotante.org/formats/fp/ </w:t>
      </w:r>
    </w:p>
    <w:p w14:paraId="1583AD4C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Reportes Técnicos: </w:t>
      </w:r>
    </w:p>
    <w:p w14:paraId="779BEC30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>1.</w:t>
      </w:r>
      <w:r w:rsidRPr="00517254">
        <w:rPr>
          <w:sz w:val="19"/>
          <w:szCs w:val="19"/>
        </w:rPr>
        <w:tab/>
        <w:t xml:space="preserve">↑ Mike </w:t>
      </w:r>
      <w:proofErr w:type="spellStart"/>
      <w:r w:rsidRPr="00517254">
        <w:rPr>
          <w:sz w:val="19"/>
          <w:szCs w:val="19"/>
        </w:rPr>
        <w:t>Cowlishaw</w:t>
      </w:r>
      <w:proofErr w:type="spellEnd"/>
      <w:r w:rsidRPr="00517254">
        <w:rPr>
          <w:sz w:val="19"/>
          <w:szCs w:val="19"/>
        </w:rPr>
        <w:t xml:space="preserve"> (20 de marzo de 2009).</w:t>
      </w:r>
    </w:p>
    <w:p w14:paraId="33C0D464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>2.</w:t>
      </w:r>
      <w:r w:rsidRPr="00517254">
        <w:rPr>
          <w:sz w:val="19"/>
          <w:szCs w:val="19"/>
        </w:rPr>
        <w:tab/>
        <w:t xml:space="preserve"> «Decimal </w:t>
      </w:r>
      <w:proofErr w:type="spellStart"/>
      <w:r w:rsidRPr="00517254">
        <w:rPr>
          <w:sz w:val="19"/>
          <w:szCs w:val="19"/>
        </w:rPr>
        <w:t>Arithmetic</w:t>
      </w:r>
      <w:proofErr w:type="spellEnd"/>
      <w:r w:rsidRPr="00517254">
        <w:rPr>
          <w:sz w:val="19"/>
          <w:szCs w:val="19"/>
        </w:rPr>
        <w:t xml:space="preserve"> </w:t>
      </w:r>
      <w:proofErr w:type="spellStart"/>
      <w:r w:rsidRPr="00517254">
        <w:rPr>
          <w:sz w:val="19"/>
          <w:szCs w:val="19"/>
        </w:rPr>
        <w:t>Encodings</w:t>
      </w:r>
      <w:proofErr w:type="spellEnd"/>
      <w:r w:rsidRPr="00517254">
        <w:rPr>
          <w:sz w:val="19"/>
          <w:szCs w:val="19"/>
        </w:rPr>
        <w:t xml:space="preserve">» </w:t>
      </w:r>
    </w:p>
    <w:p w14:paraId="07A0C9FD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>3.</w:t>
      </w:r>
      <w:r w:rsidRPr="00517254">
        <w:rPr>
          <w:sz w:val="19"/>
          <w:szCs w:val="19"/>
        </w:rPr>
        <w:tab/>
        <w:t xml:space="preserve">(en inglés). IBM UK </w:t>
      </w:r>
      <w:proofErr w:type="spellStart"/>
      <w:r w:rsidRPr="00517254">
        <w:rPr>
          <w:sz w:val="19"/>
          <w:szCs w:val="19"/>
        </w:rPr>
        <w:t>Laboratories</w:t>
      </w:r>
      <w:proofErr w:type="spellEnd"/>
      <w:r w:rsidRPr="00517254">
        <w:rPr>
          <w:sz w:val="19"/>
          <w:szCs w:val="19"/>
        </w:rPr>
        <w:t xml:space="preserve">. </w:t>
      </w:r>
    </w:p>
    <w:p w14:paraId="3E71913A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>4.</w:t>
      </w:r>
      <w:r w:rsidRPr="00517254">
        <w:rPr>
          <w:sz w:val="19"/>
          <w:szCs w:val="19"/>
        </w:rPr>
        <w:tab/>
        <w:t xml:space="preserve">Consultado el 18 de marzo de 2017. Formato Bits </w:t>
      </w:r>
    </w:p>
    <w:p w14:paraId="25DD3F41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Bits </w:t>
      </w:r>
    </w:p>
    <w:p w14:paraId="33D06AA5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Bits del </w:t>
      </w:r>
    </w:p>
    <w:p w14:paraId="5D980119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Número </w:t>
      </w:r>
    </w:p>
    <w:p w14:paraId="2B6F0F06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Número </w:t>
      </w:r>
    </w:p>
    <w:p w14:paraId="5EA02515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totales</w:t>
      </w:r>
      <w:proofErr w:type="gramEnd"/>
      <w:r w:rsidRPr="00517254">
        <w:rPr>
          <w:sz w:val="19"/>
          <w:szCs w:val="19"/>
        </w:rPr>
        <w:t xml:space="preserve"> </w:t>
      </w:r>
    </w:p>
    <w:p w14:paraId="40BB708B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significativos</w:t>
      </w:r>
      <w:proofErr w:type="gramEnd"/>
      <w:r w:rsidRPr="00517254">
        <w:rPr>
          <w:sz w:val="19"/>
          <w:szCs w:val="19"/>
        </w:rPr>
        <w:t xml:space="preserve"> </w:t>
      </w:r>
    </w:p>
    <w:p w14:paraId="71D95D22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exponente</w:t>
      </w:r>
      <w:proofErr w:type="gramEnd"/>
      <w:r w:rsidRPr="00517254">
        <w:rPr>
          <w:sz w:val="19"/>
          <w:szCs w:val="19"/>
        </w:rPr>
        <w:t xml:space="preserve"> </w:t>
      </w:r>
    </w:p>
    <w:p w14:paraId="3AD6DCFC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lastRenderedPageBreak/>
        <w:t>más</w:t>
      </w:r>
      <w:proofErr w:type="gramEnd"/>
      <w:r w:rsidRPr="00517254">
        <w:rPr>
          <w:sz w:val="19"/>
          <w:szCs w:val="19"/>
        </w:rPr>
        <w:t xml:space="preserve"> </w:t>
      </w:r>
    </w:p>
    <w:p w14:paraId="5FE87E4B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más</w:t>
      </w:r>
      <w:proofErr w:type="gramEnd"/>
      <w:r w:rsidRPr="00517254">
        <w:rPr>
          <w:sz w:val="19"/>
          <w:szCs w:val="19"/>
        </w:rPr>
        <w:t xml:space="preserve"> </w:t>
      </w:r>
    </w:p>
    <w:p w14:paraId="7541FFC6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pequeño</w:t>
      </w:r>
      <w:proofErr w:type="gramEnd"/>
      <w:r w:rsidRPr="00517254">
        <w:rPr>
          <w:sz w:val="19"/>
          <w:szCs w:val="19"/>
        </w:rPr>
        <w:t xml:space="preserve"> </w:t>
      </w:r>
    </w:p>
    <w:p w14:paraId="7FFE4AC8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grande</w:t>
      </w:r>
      <w:proofErr w:type="gramEnd"/>
      <w:r w:rsidRPr="00517254">
        <w:rPr>
          <w:sz w:val="19"/>
          <w:szCs w:val="19"/>
        </w:rPr>
        <w:t xml:space="preserve"> </w:t>
      </w:r>
    </w:p>
    <w:p w14:paraId="5987E499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Precisión </w:t>
      </w:r>
    </w:p>
    <w:p w14:paraId="4D59AADB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32 23 + 1 signo 8 ~1.2 </w:t>
      </w:r>
      <w:r w:rsidRPr="00517254">
        <w:rPr>
          <w:rFonts w:ascii="Cambria Math" w:hAnsi="Cambria Math" w:cs="Cambria Math"/>
          <w:sz w:val="19"/>
          <w:szCs w:val="19"/>
        </w:rPr>
        <w:t>⋅</w:t>
      </w:r>
      <w:r w:rsidRPr="00517254">
        <w:rPr>
          <w:sz w:val="19"/>
          <w:szCs w:val="19"/>
        </w:rPr>
        <w:t xml:space="preserve"> </w:t>
      </w:r>
    </w:p>
    <w:p w14:paraId="03FC7545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sencilla</w:t>
      </w:r>
      <w:proofErr w:type="gramEnd"/>
      <w:r w:rsidRPr="00517254">
        <w:rPr>
          <w:sz w:val="19"/>
          <w:szCs w:val="19"/>
        </w:rPr>
        <w:t xml:space="preserve"> </w:t>
      </w:r>
    </w:p>
    <w:p w14:paraId="072B8627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10-38 </w:t>
      </w:r>
    </w:p>
    <w:p w14:paraId="2BC62E7B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~3.4 </w:t>
      </w:r>
      <w:r w:rsidRPr="00517254">
        <w:rPr>
          <w:rFonts w:ascii="Cambria Math" w:hAnsi="Cambria Math" w:cs="Cambria Math"/>
          <w:sz w:val="19"/>
          <w:szCs w:val="19"/>
        </w:rPr>
        <w:t>⋅</w:t>
      </w:r>
      <w:r w:rsidRPr="00517254">
        <w:rPr>
          <w:sz w:val="19"/>
          <w:szCs w:val="19"/>
        </w:rPr>
        <w:t xml:space="preserve"> </w:t>
      </w:r>
    </w:p>
    <w:p w14:paraId="6CF1F3E1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1038 </w:t>
      </w:r>
    </w:p>
    <w:p w14:paraId="1925FEB8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Precisión </w:t>
      </w:r>
    </w:p>
    <w:p w14:paraId="61A9959C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gramStart"/>
      <w:r w:rsidRPr="00517254">
        <w:rPr>
          <w:sz w:val="19"/>
          <w:szCs w:val="19"/>
        </w:rPr>
        <w:t>doble</w:t>
      </w:r>
      <w:proofErr w:type="gramEnd"/>
      <w:r w:rsidRPr="00517254">
        <w:rPr>
          <w:sz w:val="19"/>
          <w:szCs w:val="19"/>
        </w:rPr>
        <w:t xml:space="preserve"> </w:t>
      </w:r>
    </w:p>
    <w:p w14:paraId="41DD676D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64 52 + 1 signo 11 ~5.0 </w:t>
      </w:r>
      <w:r w:rsidRPr="00517254">
        <w:rPr>
          <w:rFonts w:ascii="Cambria Math" w:hAnsi="Cambria Math" w:cs="Cambria Math"/>
          <w:sz w:val="19"/>
          <w:szCs w:val="19"/>
        </w:rPr>
        <w:t>⋅</w:t>
      </w:r>
      <w:r w:rsidRPr="00517254">
        <w:rPr>
          <w:sz w:val="19"/>
          <w:szCs w:val="19"/>
        </w:rPr>
        <w:t xml:space="preserve"> </w:t>
      </w:r>
    </w:p>
    <w:p w14:paraId="65D58DB2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10-324 </w:t>
      </w:r>
    </w:p>
    <w:p w14:paraId="4CA9E258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~1.8 </w:t>
      </w:r>
      <w:r w:rsidRPr="00517254">
        <w:rPr>
          <w:rFonts w:ascii="Cambria Math" w:hAnsi="Cambria Math" w:cs="Cambria Math"/>
          <w:sz w:val="19"/>
          <w:szCs w:val="19"/>
        </w:rPr>
        <w:t>⋅</w:t>
      </w:r>
      <w:r w:rsidRPr="00517254">
        <w:rPr>
          <w:sz w:val="19"/>
          <w:szCs w:val="19"/>
        </w:rPr>
        <w:t xml:space="preserve"> </w:t>
      </w:r>
    </w:p>
    <w:p w14:paraId="2C5D2D66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10308  </w:t>
      </w:r>
    </w:p>
    <w:p w14:paraId="0DA37D52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3 </w:t>
      </w:r>
    </w:p>
    <w:p w14:paraId="540B6F68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proofErr w:type="spellStart"/>
      <w:r w:rsidRPr="00517254">
        <w:rPr>
          <w:sz w:val="19"/>
          <w:szCs w:val="19"/>
        </w:rPr>
        <w:t>Norrmas</w:t>
      </w:r>
      <w:proofErr w:type="spellEnd"/>
      <w:r w:rsidRPr="00517254">
        <w:rPr>
          <w:sz w:val="19"/>
          <w:szCs w:val="19"/>
        </w:rPr>
        <w:t xml:space="preserve">: </w:t>
      </w:r>
    </w:p>
    <w:p w14:paraId="55BDC099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1. ↑ «FW: ISO/IEC/IEEE 60559 (IEEE </w:t>
      </w:r>
      <w:proofErr w:type="spellStart"/>
      <w:r w:rsidRPr="00517254">
        <w:rPr>
          <w:sz w:val="19"/>
          <w:szCs w:val="19"/>
        </w:rPr>
        <w:t>Std</w:t>
      </w:r>
      <w:proofErr w:type="spellEnd"/>
      <w:r w:rsidRPr="00517254">
        <w:rPr>
          <w:sz w:val="19"/>
          <w:szCs w:val="19"/>
        </w:rPr>
        <w:t xml:space="preserve"> 754- 2008)». grouper.ieee.org (en inglés). IEEE. 01 de abril de 2011. Archivado desde el original el 19 de marzo de 2012. Consultado el 18 de marzo de 2017. 2. ↑ «ISO/IEC/IEEE 60559:2011 - </w:t>
      </w:r>
      <w:proofErr w:type="spellStart"/>
      <w:r w:rsidRPr="00517254">
        <w:rPr>
          <w:sz w:val="19"/>
          <w:szCs w:val="19"/>
        </w:rPr>
        <w:t>Information</w:t>
      </w:r>
      <w:proofErr w:type="spellEnd"/>
      <w:r w:rsidRPr="00517254">
        <w:rPr>
          <w:sz w:val="19"/>
          <w:szCs w:val="19"/>
        </w:rPr>
        <w:t xml:space="preserve"> </w:t>
      </w:r>
      <w:proofErr w:type="spellStart"/>
      <w:r w:rsidRPr="00517254">
        <w:rPr>
          <w:sz w:val="19"/>
          <w:szCs w:val="19"/>
        </w:rPr>
        <w:t>technology</w:t>
      </w:r>
      <w:proofErr w:type="spellEnd"/>
      <w:r w:rsidRPr="00517254">
        <w:rPr>
          <w:sz w:val="19"/>
          <w:szCs w:val="19"/>
        </w:rPr>
        <w:t xml:space="preserve"> -- </w:t>
      </w:r>
      <w:proofErr w:type="spellStart"/>
      <w:r w:rsidRPr="00517254">
        <w:rPr>
          <w:sz w:val="19"/>
          <w:szCs w:val="19"/>
        </w:rPr>
        <w:t>Microprocessor</w:t>
      </w:r>
      <w:proofErr w:type="spellEnd"/>
      <w:r w:rsidRPr="00517254">
        <w:rPr>
          <w:sz w:val="19"/>
          <w:szCs w:val="19"/>
        </w:rPr>
        <w:t xml:space="preserve"> </w:t>
      </w:r>
      <w:proofErr w:type="spellStart"/>
      <w:r w:rsidRPr="00517254">
        <w:rPr>
          <w:sz w:val="19"/>
          <w:szCs w:val="19"/>
        </w:rPr>
        <w:t>Systems</w:t>
      </w:r>
      <w:proofErr w:type="spellEnd"/>
      <w:r w:rsidRPr="00517254">
        <w:rPr>
          <w:sz w:val="19"/>
          <w:szCs w:val="19"/>
        </w:rPr>
        <w:t xml:space="preserve"> -- </w:t>
      </w:r>
      <w:proofErr w:type="spellStart"/>
      <w:r w:rsidRPr="00517254">
        <w:rPr>
          <w:sz w:val="19"/>
          <w:szCs w:val="19"/>
        </w:rPr>
        <w:t>Floating</w:t>
      </w:r>
      <w:proofErr w:type="spellEnd"/>
      <w:r w:rsidRPr="00517254">
        <w:rPr>
          <w:sz w:val="19"/>
          <w:szCs w:val="19"/>
        </w:rPr>
        <w:t xml:space="preserve">- Point </w:t>
      </w:r>
      <w:proofErr w:type="spellStart"/>
      <w:r w:rsidRPr="00517254">
        <w:rPr>
          <w:sz w:val="19"/>
          <w:szCs w:val="19"/>
        </w:rPr>
        <w:t>arithmetic</w:t>
      </w:r>
      <w:proofErr w:type="spellEnd"/>
      <w:r w:rsidRPr="00517254">
        <w:rPr>
          <w:sz w:val="19"/>
          <w:szCs w:val="19"/>
        </w:rPr>
        <w:t xml:space="preserve">». www.iso.org (en inglés). ISO. Consultado el 18 de marzo de 2017. 3. ↑ «IEEE 754-2008 errata». speleotrove.com (en inglés). Archivado desde el original el 8 de octubre de 2019. Consultado el 18 de marzo de 2017. </w:t>
      </w:r>
      <w:r w:rsidRPr="00517254">
        <w:rPr>
          <w:sz w:val="19"/>
          <w:szCs w:val="19"/>
          <w:lang w:val="en-US"/>
        </w:rPr>
        <w:t xml:space="preserve">4. ↑ «Revising ANSI/IEEE </w:t>
      </w:r>
      <w:proofErr w:type="spellStart"/>
      <w:proofErr w:type="gramStart"/>
      <w:r w:rsidRPr="00517254">
        <w:rPr>
          <w:sz w:val="19"/>
          <w:szCs w:val="19"/>
          <w:lang w:val="en-US"/>
        </w:rPr>
        <w:t>Std</w:t>
      </w:r>
      <w:proofErr w:type="spellEnd"/>
      <w:proofErr w:type="gramEnd"/>
      <w:r w:rsidRPr="00517254">
        <w:rPr>
          <w:sz w:val="19"/>
          <w:szCs w:val="19"/>
          <w:lang w:val="en-US"/>
        </w:rPr>
        <w:t xml:space="preserve"> 754-2008 http://754r.ucbtest.org». 754r.ucbtest.org (en </w:t>
      </w:r>
      <w:proofErr w:type="spellStart"/>
      <w:r w:rsidRPr="00517254">
        <w:rPr>
          <w:sz w:val="19"/>
          <w:szCs w:val="19"/>
          <w:lang w:val="en-US"/>
        </w:rPr>
        <w:t>inglés</w:t>
      </w:r>
      <w:proofErr w:type="spellEnd"/>
      <w:r w:rsidRPr="00517254">
        <w:rPr>
          <w:sz w:val="19"/>
          <w:szCs w:val="19"/>
          <w:lang w:val="en-US"/>
        </w:rPr>
        <w:t xml:space="preserve">). </w:t>
      </w:r>
      <w:proofErr w:type="spellStart"/>
      <w:r w:rsidRPr="00517254">
        <w:rPr>
          <w:sz w:val="19"/>
          <w:szCs w:val="19"/>
          <w:lang w:val="en-US"/>
        </w:rPr>
        <w:t>Consultado</w:t>
      </w:r>
      <w:proofErr w:type="spellEnd"/>
      <w:r w:rsidRPr="00517254">
        <w:rPr>
          <w:sz w:val="19"/>
          <w:szCs w:val="19"/>
          <w:lang w:val="en-US"/>
        </w:rPr>
        <w:t xml:space="preserve"> el 18 de </w:t>
      </w:r>
      <w:proofErr w:type="spellStart"/>
      <w:r w:rsidRPr="00517254">
        <w:rPr>
          <w:sz w:val="19"/>
          <w:szCs w:val="19"/>
          <w:lang w:val="en-US"/>
        </w:rPr>
        <w:t>marzo</w:t>
      </w:r>
      <w:proofErr w:type="spellEnd"/>
      <w:r w:rsidRPr="00517254">
        <w:rPr>
          <w:sz w:val="19"/>
          <w:szCs w:val="19"/>
          <w:lang w:val="en-US"/>
        </w:rPr>
        <w:t xml:space="preserve"> de 2017. 5. ↑ </w:t>
      </w:r>
      <w:proofErr w:type="spellStart"/>
      <w:r w:rsidRPr="00517254">
        <w:rPr>
          <w:sz w:val="19"/>
          <w:szCs w:val="19"/>
          <w:lang w:val="en-US"/>
        </w:rPr>
        <w:t>Saltar</w:t>
      </w:r>
      <w:proofErr w:type="spellEnd"/>
      <w:r w:rsidRPr="00517254">
        <w:rPr>
          <w:sz w:val="19"/>
          <w:szCs w:val="19"/>
          <w:lang w:val="en-US"/>
        </w:rPr>
        <w:t xml:space="preserve"> a</w:t>
      </w:r>
      <w:proofErr w:type="gramStart"/>
      <w:r w:rsidRPr="00517254">
        <w:rPr>
          <w:sz w:val="19"/>
          <w:szCs w:val="19"/>
          <w:lang w:val="en-US"/>
        </w:rPr>
        <w:t>:a</w:t>
      </w:r>
      <w:proofErr w:type="gramEnd"/>
      <w:r w:rsidRPr="00517254">
        <w:rPr>
          <w:sz w:val="19"/>
          <w:szCs w:val="19"/>
          <w:lang w:val="en-US"/>
        </w:rPr>
        <w:t xml:space="preserve"> b c «IEEE </w:t>
      </w:r>
      <w:proofErr w:type="spellStart"/>
      <w:r w:rsidRPr="00517254">
        <w:rPr>
          <w:sz w:val="19"/>
          <w:szCs w:val="19"/>
          <w:lang w:val="en-US"/>
        </w:rPr>
        <w:t>Std</w:t>
      </w:r>
      <w:proofErr w:type="spellEnd"/>
      <w:r w:rsidRPr="00517254">
        <w:rPr>
          <w:sz w:val="19"/>
          <w:szCs w:val="19"/>
          <w:lang w:val="en-US"/>
        </w:rPr>
        <w:t xml:space="preserve"> 754-2008: IEEE Standard for Floating-Point Arithmetic» (en </w:t>
      </w:r>
      <w:proofErr w:type="spellStart"/>
      <w:r w:rsidRPr="00517254">
        <w:rPr>
          <w:sz w:val="19"/>
          <w:szCs w:val="19"/>
          <w:lang w:val="en-US"/>
        </w:rPr>
        <w:t>inglés</w:t>
      </w:r>
      <w:proofErr w:type="spellEnd"/>
      <w:r w:rsidRPr="00517254">
        <w:rPr>
          <w:sz w:val="19"/>
          <w:szCs w:val="19"/>
          <w:lang w:val="en-US"/>
        </w:rPr>
        <w:t xml:space="preserve">). </w:t>
      </w:r>
      <w:r w:rsidRPr="00517254">
        <w:rPr>
          <w:sz w:val="19"/>
          <w:szCs w:val="19"/>
        </w:rPr>
        <w:t xml:space="preserve">IEEE Inc. Archivado desde el original el 6 de noviembre de 2016. Consultado el 27 de febrero de 2017. 6. «IEEE </w:t>
      </w:r>
      <w:proofErr w:type="spellStart"/>
      <w:r w:rsidRPr="00517254">
        <w:rPr>
          <w:sz w:val="19"/>
          <w:szCs w:val="19"/>
        </w:rPr>
        <w:t>Std</w:t>
      </w:r>
      <w:proofErr w:type="spellEnd"/>
      <w:r w:rsidRPr="00517254">
        <w:rPr>
          <w:sz w:val="19"/>
          <w:szCs w:val="19"/>
        </w:rPr>
        <w:t xml:space="preserve"> 1003.1, 2004 </w:t>
      </w:r>
      <w:proofErr w:type="spellStart"/>
      <w:r w:rsidRPr="00517254">
        <w:rPr>
          <w:sz w:val="19"/>
          <w:szCs w:val="19"/>
        </w:rPr>
        <w:t>Edition</w:t>
      </w:r>
      <w:proofErr w:type="spellEnd"/>
      <w:r w:rsidRPr="00517254">
        <w:rPr>
          <w:sz w:val="19"/>
          <w:szCs w:val="19"/>
        </w:rPr>
        <w:t xml:space="preserve">» (en inglés). </w:t>
      </w:r>
      <w:proofErr w:type="spellStart"/>
      <w:r w:rsidRPr="00517254">
        <w:rPr>
          <w:sz w:val="19"/>
          <w:szCs w:val="19"/>
        </w:rPr>
        <w:t>The</w:t>
      </w:r>
      <w:proofErr w:type="spellEnd"/>
      <w:r w:rsidRPr="00517254">
        <w:rPr>
          <w:sz w:val="19"/>
          <w:szCs w:val="19"/>
        </w:rPr>
        <w:t xml:space="preserve"> </w:t>
      </w:r>
    </w:p>
    <w:p w14:paraId="6B9282EC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Open </w:t>
      </w:r>
      <w:proofErr w:type="spellStart"/>
      <w:r w:rsidRPr="00517254">
        <w:rPr>
          <w:sz w:val="19"/>
          <w:szCs w:val="19"/>
        </w:rPr>
        <w:t>Group</w:t>
      </w:r>
      <w:proofErr w:type="spellEnd"/>
      <w:r w:rsidRPr="00517254">
        <w:rPr>
          <w:sz w:val="19"/>
          <w:szCs w:val="19"/>
        </w:rPr>
        <w:t xml:space="preserve">. Consultado el 27 de febrero de 2017. </w:t>
      </w:r>
    </w:p>
    <w:p w14:paraId="6EB593AA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Representación punto flotante – Introducción a la informática 4 </w:t>
      </w:r>
    </w:p>
    <w:p w14:paraId="46EECB61" w14:textId="77777777" w:rsidR="00517254" w:rsidRP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</w:pPr>
      <w:r w:rsidRPr="00517254">
        <w:rPr>
          <w:sz w:val="19"/>
          <w:szCs w:val="19"/>
        </w:rPr>
        <w:t xml:space="preserve">5 </w:t>
      </w:r>
    </w:p>
    <w:p w14:paraId="62EB6AA5" w14:textId="51FD345C" w:rsidR="00517254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right="-460"/>
        <w:rPr>
          <w:sz w:val="19"/>
          <w:szCs w:val="19"/>
        </w:rPr>
        <w:sectPr w:rsidR="00517254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280" w:space="800"/>
            <w:col w:w="4280" w:space="0"/>
          </w:cols>
        </w:sectPr>
      </w:pPr>
      <w:r w:rsidRPr="00517254">
        <w:rPr>
          <w:sz w:val="19"/>
          <w:szCs w:val="19"/>
        </w:rPr>
        <w:t>Representación punto flotante – Introducción a la informática 6</w:t>
      </w:r>
    </w:p>
    <w:p w14:paraId="00000056" w14:textId="6BC796A7" w:rsidR="00BB22EC" w:rsidRDefault="00517254" w:rsidP="005172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  <w:vertAlign w:val="subscript"/>
        </w:rPr>
      </w:pPr>
      <w:r>
        <w:rPr>
          <w:color w:val="000000"/>
          <w:sz w:val="33"/>
          <w:szCs w:val="33"/>
          <w:vertAlign w:val="subscript"/>
        </w:rPr>
        <w:lastRenderedPageBreak/>
        <w:t xml:space="preserve"> </w:t>
      </w:r>
    </w:p>
    <w:sectPr w:rsidR="00BB22E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7B54"/>
    <w:multiLevelType w:val="hybridMultilevel"/>
    <w:tmpl w:val="8AF420E4"/>
    <w:lvl w:ilvl="0" w:tplc="D8F24B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EC"/>
    <w:rsid w:val="00517254"/>
    <w:rsid w:val="00B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4B76A-A720-47B4-B14C-55FCA068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51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1395</Words>
  <Characters>7677</Characters>
  <Application>Microsoft Office Word</Application>
  <DocSecurity>0</DocSecurity>
  <Lines>63</Lines>
  <Paragraphs>18</Paragraphs>
  <ScaleCrop>false</ScaleCrop>
  <Company>HP</Company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2020-03-25T02:53:00Z</dcterms:created>
  <dcterms:modified xsi:type="dcterms:W3CDTF">2020-03-25T02:58:00Z</dcterms:modified>
</cp:coreProperties>
</file>