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55C7" w14:textId="7044F3A4" w:rsidR="00A517BE" w:rsidRPr="00B74EB8" w:rsidRDefault="00A517BE" w:rsidP="00A517BE">
      <w:pPr>
        <w:spacing w:after="0" w:line="480" w:lineRule="auto"/>
        <w:rPr>
          <w:rFonts w:ascii="Times New Roman" w:hAnsi="Times New Roman" w:cs="Times New Roman"/>
        </w:rPr>
      </w:pPr>
      <w:r w:rsidRPr="00B74EB8">
        <w:rPr>
          <w:rFonts w:ascii="Times New Roman" w:hAnsi="Times New Roman" w:cs="Times New Roman"/>
        </w:rPr>
        <w:t>Juan Pablo de Legarreta</w:t>
      </w:r>
    </w:p>
    <w:p w14:paraId="4EC0E5B1" w14:textId="26ED9D1C" w:rsidR="00A517BE" w:rsidRPr="00B74EB8" w:rsidRDefault="00A517BE" w:rsidP="00A517BE">
      <w:pPr>
        <w:spacing w:after="0" w:line="480" w:lineRule="auto"/>
        <w:rPr>
          <w:rFonts w:ascii="Times New Roman" w:hAnsi="Times New Roman" w:cs="Times New Roman"/>
        </w:rPr>
      </w:pPr>
      <w:r w:rsidRPr="00B74EB8">
        <w:rPr>
          <w:rFonts w:ascii="Times New Roman" w:hAnsi="Times New Roman" w:cs="Times New Roman"/>
        </w:rPr>
        <w:t>NETC 1</w:t>
      </w:r>
      <w:r w:rsidR="00B74EB8" w:rsidRPr="00B74EB8">
        <w:rPr>
          <w:rFonts w:ascii="Times New Roman" w:hAnsi="Times New Roman" w:cs="Times New Roman"/>
        </w:rPr>
        <w:t>7</w:t>
      </w:r>
      <w:r w:rsidRPr="00B74EB8">
        <w:rPr>
          <w:rFonts w:ascii="Times New Roman" w:hAnsi="Times New Roman" w:cs="Times New Roman"/>
        </w:rPr>
        <w:t xml:space="preserve">0 – </w:t>
      </w:r>
      <w:r w:rsidR="00B74EB8" w:rsidRPr="00B74EB8">
        <w:rPr>
          <w:rFonts w:ascii="Times New Roman" w:hAnsi="Times New Roman" w:cs="Times New Roman"/>
        </w:rPr>
        <w:t>IT Governance &amp; Management</w:t>
      </w:r>
    </w:p>
    <w:p w14:paraId="0A06DFAA" w14:textId="7E7F7BEC" w:rsidR="00620A11" w:rsidRPr="00B74EB8" w:rsidRDefault="00A517BE" w:rsidP="00620A11">
      <w:pPr>
        <w:spacing w:after="0" w:line="480" w:lineRule="auto"/>
        <w:rPr>
          <w:rFonts w:ascii="Times New Roman" w:hAnsi="Times New Roman" w:cs="Times New Roman"/>
        </w:rPr>
      </w:pPr>
      <w:r w:rsidRPr="00B74EB8">
        <w:rPr>
          <w:rFonts w:ascii="Times New Roman" w:hAnsi="Times New Roman" w:cs="Times New Roman"/>
        </w:rPr>
        <w:t xml:space="preserve">Module </w:t>
      </w:r>
      <w:r w:rsidR="004C5E4C">
        <w:rPr>
          <w:rFonts w:ascii="Times New Roman" w:hAnsi="Times New Roman" w:cs="Times New Roman"/>
        </w:rPr>
        <w:t>Six</w:t>
      </w:r>
      <w:r w:rsidRPr="00B74EB8">
        <w:rPr>
          <w:rFonts w:ascii="Times New Roman" w:hAnsi="Times New Roman" w:cs="Times New Roman"/>
        </w:rPr>
        <w:t xml:space="preserve"> Assignment</w:t>
      </w:r>
    </w:p>
    <w:p w14:paraId="02E64A0D" w14:textId="28C7FD68" w:rsidR="00A35941" w:rsidRPr="00B74EB8" w:rsidRDefault="004C5E4C" w:rsidP="005E6985">
      <w:pPr>
        <w:spacing w:after="0" w:line="480" w:lineRule="auto"/>
        <w:jc w:val="center"/>
        <w:rPr>
          <w:rFonts w:ascii="Times New Roman" w:hAnsi="Times New Roman" w:cs="Times New Roman"/>
          <w:b/>
          <w:bCs/>
          <w:u w:val="single"/>
        </w:rPr>
      </w:pPr>
      <w:r>
        <w:rPr>
          <w:rFonts w:ascii="Times New Roman" w:hAnsi="Times New Roman" w:cs="Times New Roman"/>
          <w:b/>
          <w:bCs/>
          <w:u w:val="single"/>
        </w:rPr>
        <w:t>Privacy Compliance</w:t>
      </w:r>
      <w:r w:rsidR="00F1301B">
        <w:rPr>
          <w:rFonts w:ascii="Times New Roman" w:hAnsi="Times New Roman" w:cs="Times New Roman"/>
          <w:b/>
          <w:bCs/>
          <w:u w:val="single"/>
        </w:rPr>
        <w:t xml:space="preserve"> Regulations and Laws</w:t>
      </w:r>
    </w:p>
    <w:p w14:paraId="63EC3868" w14:textId="12AC659E" w:rsidR="004A7605" w:rsidRDefault="00786AC7" w:rsidP="004A7605">
      <w:pPr>
        <w:spacing w:after="0" w:line="480" w:lineRule="auto"/>
        <w:ind w:firstLine="720"/>
        <w:rPr>
          <w:rFonts w:ascii="Times New Roman" w:hAnsi="Times New Roman" w:cs="Times New Roman"/>
        </w:rPr>
      </w:pPr>
      <w:r>
        <w:rPr>
          <w:rFonts w:ascii="Times New Roman" w:hAnsi="Times New Roman" w:cs="Times New Roman"/>
        </w:rPr>
        <w:t xml:space="preserve">We read about </w:t>
      </w:r>
      <w:r w:rsidR="00F1301B">
        <w:rPr>
          <w:rFonts w:ascii="Times New Roman" w:hAnsi="Times New Roman" w:cs="Times New Roman"/>
        </w:rPr>
        <w:t>eight</w:t>
      </w:r>
      <w:r>
        <w:rPr>
          <w:rFonts w:ascii="Times New Roman" w:hAnsi="Times New Roman" w:cs="Times New Roman"/>
        </w:rPr>
        <w:t xml:space="preserve"> </w:t>
      </w:r>
      <w:r w:rsidR="00F1301B">
        <w:rPr>
          <w:rFonts w:ascii="Times New Roman" w:hAnsi="Times New Roman" w:cs="Times New Roman"/>
        </w:rPr>
        <w:t xml:space="preserve">important regulations and laws in </w:t>
      </w:r>
      <w:r w:rsidR="004C5E4C">
        <w:rPr>
          <w:rFonts w:ascii="Times New Roman" w:hAnsi="Times New Roman" w:cs="Times New Roman"/>
        </w:rPr>
        <w:t>privacy compliance</w:t>
      </w:r>
      <w:r>
        <w:rPr>
          <w:rFonts w:ascii="Times New Roman" w:hAnsi="Times New Roman" w:cs="Times New Roman"/>
        </w:rPr>
        <w:t xml:space="preserve"> </w:t>
      </w:r>
      <w:r w:rsidR="00EB406A">
        <w:rPr>
          <w:rFonts w:ascii="Times New Roman" w:hAnsi="Times New Roman" w:cs="Times New Roman"/>
        </w:rPr>
        <w:t>this week</w:t>
      </w:r>
      <w:r>
        <w:rPr>
          <w:rFonts w:ascii="Times New Roman" w:hAnsi="Times New Roman" w:cs="Times New Roman"/>
        </w:rPr>
        <w:t xml:space="preserve">: </w:t>
      </w:r>
      <w:r w:rsidR="004C5E4C">
        <w:rPr>
          <w:rFonts w:ascii="Times New Roman" w:hAnsi="Times New Roman" w:cs="Times New Roman"/>
        </w:rPr>
        <w:t>FERPA, CCPA, GDPR, COPPA, FCRA, and ECPA</w:t>
      </w:r>
      <w:r>
        <w:rPr>
          <w:rFonts w:ascii="Times New Roman" w:hAnsi="Times New Roman" w:cs="Times New Roman"/>
        </w:rPr>
        <w:t xml:space="preserve">. </w:t>
      </w:r>
      <w:r w:rsidR="00F1301B">
        <w:rPr>
          <w:rFonts w:ascii="Times New Roman" w:hAnsi="Times New Roman" w:cs="Times New Roman"/>
        </w:rPr>
        <w:t>These regulations cover a wide array of industries, services, and protections</w:t>
      </w:r>
      <w:r w:rsidR="004A7605">
        <w:rPr>
          <w:rFonts w:ascii="Times New Roman" w:hAnsi="Times New Roman" w:cs="Times New Roman"/>
        </w:rPr>
        <w:t>.</w:t>
      </w:r>
      <w:r w:rsidR="00F1301B">
        <w:rPr>
          <w:rFonts w:ascii="Times New Roman" w:hAnsi="Times New Roman" w:cs="Times New Roman"/>
        </w:rPr>
        <w:t xml:space="preserve"> The all have required security controls and indicate how to ensure compliance.</w:t>
      </w:r>
      <w:r>
        <w:rPr>
          <w:rFonts w:ascii="Times New Roman" w:hAnsi="Times New Roman" w:cs="Times New Roman"/>
        </w:rPr>
        <w:t xml:space="preserve"> The table below </w:t>
      </w:r>
      <w:r w:rsidR="00006347">
        <w:rPr>
          <w:rFonts w:ascii="Times New Roman" w:hAnsi="Times New Roman" w:cs="Times New Roman"/>
        </w:rPr>
        <w:t>shares</w:t>
      </w:r>
      <w:r>
        <w:rPr>
          <w:rFonts w:ascii="Times New Roman" w:hAnsi="Times New Roman" w:cs="Times New Roman"/>
        </w:rPr>
        <w:t xml:space="preserve"> a description, </w:t>
      </w:r>
      <w:r w:rsidR="00F1301B">
        <w:rPr>
          <w:rFonts w:ascii="Times New Roman" w:hAnsi="Times New Roman" w:cs="Times New Roman"/>
        </w:rPr>
        <w:t>the required security controls</w:t>
      </w:r>
      <w:r>
        <w:rPr>
          <w:rFonts w:ascii="Times New Roman" w:hAnsi="Times New Roman" w:cs="Times New Roman"/>
        </w:rPr>
        <w:t xml:space="preserve">, and </w:t>
      </w:r>
      <w:r w:rsidR="00F1301B">
        <w:rPr>
          <w:rFonts w:ascii="Times New Roman" w:hAnsi="Times New Roman" w:cs="Times New Roman"/>
        </w:rPr>
        <w:t xml:space="preserve">the party responsible for ensuring compliance for these </w:t>
      </w:r>
      <w:r w:rsidR="004C5E4C">
        <w:rPr>
          <w:rFonts w:ascii="Times New Roman" w:hAnsi="Times New Roman" w:cs="Times New Roman"/>
        </w:rPr>
        <w:t>six</w:t>
      </w:r>
      <w:r w:rsidR="00F1301B">
        <w:rPr>
          <w:rFonts w:ascii="Times New Roman" w:hAnsi="Times New Roman" w:cs="Times New Roman"/>
        </w:rPr>
        <w:t xml:space="preserve"> regulations and laws:</w:t>
      </w:r>
    </w:p>
    <w:tbl>
      <w:tblPr>
        <w:tblStyle w:val="TableGrid"/>
        <w:tblW w:w="0" w:type="auto"/>
        <w:tblLook w:val="04A0" w:firstRow="1" w:lastRow="0" w:firstColumn="1" w:lastColumn="0" w:noHBand="0" w:noVBand="1"/>
      </w:tblPr>
      <w:tblGrid>
        <w:gridCol w:w="2337"/>
        <w:gridCol w:w="2337"/>
        <w:gridCol w:w="2338"/>
        <w:gridCol w:w="2338"/>
      </w:tblGrid>
      <w:tr w:rsidR="004C5E4C" w14:paraId="455ABF70" w14:textId="77777777" w:rsidTr="00ED1A74">
        <w:tc>
          <w:tcPr>
            <w:tcW w:w="2337" w:type="dxa"/>
            <w:shd w:val="clear" w:color="auto" w:fill="FFFFFF" w:themeFill="background1"/>
            <w:vAlign w:val="center"/>
          </w:tcPr>
          <w:p w14:paraId="1D5D31BF" w14:textId="77777777" w:rsidR="004C5E4C" w:rsidRDefault="004C5E4C" w:rsidP="00ED1A74">
            <w:pPr>
              <w:jc w:val="center"/>
              <w:rPr>
                <w:b/>
                <w:bCs/>
              </w:rPr>
            </w:pPr>
            <w:r>
              <w:rPr>
                <w:b/>
                <w:bCs/>
              </w:rPr>
              <w:t>Privacy</w:t>
            </w:r>
          </w:p>
          <w:p w14:paraId="1B4A40D5" w14:textId="77777777" w:rsidR="004C5E4C" w:rsidRPr="00B463A5" w:rsidRDefault="004C5E4C" w:rsidP="00ED1A74">
            <w:pPr>
              <w:jc w:val="center"/>
              <w:rPr>
                <w:b/>
                <w:bCs/>
              </w:rPr>
            </w:pPr>
            <w:r>
              <w:rPr>
                <w:b/>
                <w:bCs/>
              </w:rPr>
              <w:t>Law/Regulation</w:t>
            </w:r>
          </w:p>
        </w:tc>
        <w:tc>
          <w:tcPr>
            <w:tcW w:w="2337" w:type="dxa"/>
            <w:shd w:val="clear" w:color="auto" w:fill="D9D9D9" w:themeFill="background1" w:themeFillShade="D9"/>
            <w:vAlign w:val="center"/>
          </w:tcPr>
          <w:p w14:paraId="0AA5FA0F" w14:textId="77777777" w:rsidR="004C5E4C" w:rsidRPr="00B463A5" w:rsidRDefault="004C5E4C" w:rsidP="00ED1A74">
            <w:pPr>
              <w:jc w:val="center"/>
              <w:rPr>
                <w:b/>
                <w:bCs/>
              </w:rPr>
            </w:pPr>
            <w:r>
              <w:rPr>
                <w:b/>
                <w:bCs/>
              </w:rPr>
              <w:t>Description</w:t>
            </w:r>
          </w:p>
        </w:tc>
        <w:tc>
          <w:tcPr>
            <w:tcW w:w="2338" w:type="dxa"/>
            <w:shd w:val="clear" w:color="auto" w:fill="D9D9D9" w:themeFill="background1" w:themeFillShade="D9"/>
            <w:vAlign w:val="center"/>
          </w:tcPr>
          <w:p w14:paraId="1C76BA4A" w14:textId="77777777" w:rsidR="004C5E4C" w:rsidRDefault="004C5E4C" w:rsidP="00ED1A74">
            <w:pPr>
              <w:jc w:val="center"/>
              <w:rPr>
                <w:b/>
                <w:bCs/>
              </w:rPr>
            </w:pPr>
            <w:r>
              <w:rPr>
                <w:b/>
                <w:bCs/>
              </w:rPr>
              <w:t>Required</w:t>
            </w:r>
          </w:p>
          <w:p w14:paraId="11D55C23" w14:textId="77777777" w:rsidR="004C5E4C" w:rsidRPr="00B463A5" w:rsidRDefault="004C5E4C" w:rsidP="00ED1A74">
            <w:pPr>
              <w:jc w:val="center"/>
              <w:rPr>
                <w:b/>
                <w:bCs/>
              </w:rPr>
            </w:pPr>
            <w:r>
              <w:rPr>
                <w:b/>
                <w:bCs/>
              </w:rPr>
              <w:t>Security Controls</w:t>
            </w:r>
          </w:p>
        </w:tc>
        <w:tc>
          <w:tcPr>
            <w:tcW w:w="2338" w:type="dxa"/>
            <w:shd w:val="clear" w:color="auto" w:fill="D9D9D9" w:themeFill="background1" w:themeFillShade="D9"/>
            <w:vAlign w:val="center"/>
          </w:tcPr>
          <w:p w14:paraId="413C677B" w14:textId="77777777" w:rsidR="004C5E4C" w:rsidRPr="00B463A5" w:rsidRDefault="004C5E4C" w:rsidP="00ED1A74">
            <w:pPr>
              <w:jc w:val="center"/>
              <w:rPr>
                <w:b/>
                <w:bCs/>
              </w:rPr>
            </w:pPr>
            <w:r>
              <w:rPr>
                <w:b/>
                <w:bCs/>
              </w:rPr>
              <w:t>Who is responsible for ensuring compliance?</w:t>
            </w:r>
          </w:p>
        </w:tc>
      </w:tr>
      <w:tr w:rsidR="004C5E4C" w14:paraId="30C21E2F" w14:textId="77777777" w:rsidTr="00ED1A74">
        <w:tc>
          <w:tcPr>
            <w:tcW w:w="2337" w:type="dxa"/>
            <w:shd w:val="clear" w:color="auto" w:fill="F2F2F2" w:themeFill="background1" w:themeFillShade="F2"/>
            <w:vAlign w:val="center"/>
          </w:tcPr>
          <w:p w14:paraId="456EF8CA" w14:textId="77777777" w:rsidR="004C5E4C" w:rsidRPr="00B463A5" w:rsidRDefault="004C5E4C" w:rsidP="00ED1A74">
            <w:pPr>
              <w:jc w:val="center"/>
              <w:rPr>
                <w:b/>
                <w:bCs/>
              </w:rPr>
            </w:pPr>
            <w:r>
              <w:rPr>
                <w:b/>
                <w:bCs/>
              </w:rPr>
              <w:t xml:space="preserve">FERPA </w:t>
            </w:r>
            <w:r w:rsidRPr="00B463A5">
              <w:t>(example)</w:t>
            </w:r>
          </w:p>
        </w:tc>
        <w:tc>
          <w:tcPr>
            <w:tcW w:w="2337" w:type="dxa"/>
            <w:vAlign w:val="center"/>
          </w:tcPr>
          <w:p w14:paraId="4D4B33B3" w14:textId="77777777" w:rsidR="004C5E4C" w:rsidRDefault="004C5E4C" w:rsidP="00ED1A74">
            <w:pPr>
              <w:jc w:val="center"/>
            </w:pPr>
            <w:r w:rsidRPr="00F17E4C">
              <w:t>U.S. law that protects the privacy of student education records.</w:t>
            </w:r>
          </w:p>
        </w:tc>
        <w:tc>
          <w:tcPr>
            <w:tcW w:w="2338" w:type="dxa"/>
            <w:vAlign w:val="center"/>
          </w:tcPr>
          <w:p w14:paraId="590B3D75" w14:textId="77777777" w:rsidR="004C5E4C" w:rsidRDefault="004C5E4C" w:rsidP="00ED1A74">
            <w:pPr>
              <w:jc w:val="center"/>
            </w:pPr>
            <w:r w:rsidRPr="00F17E4C">
              <w:t>Access controls, record management policies</w:t>
            </w:r>
          </w:p>
        </w:tc>
        <w:tc>
          <w:tcPr>
            <w:tcW w:w="2338" w:type="dxa"/>
            <w:vAlign w:val="center"/>
          </w:tcPr>
          <w:p w14:paraId="1F418CC5" w14:textId="77777777" w:rsidR="004C5E4C" w:rsidRDefault="004C5E4C" w:rsidP="00ED1A74">
            <w:pPr>
              <w:jc w:val="center"/>
            </w:pPr>
            <w:r w:rsidRPr="00F17E4C">
              <w:t>Educational institutions and agencies.</w:t>
            </w:r>
          </w:p>
        </w:tc>
      </w:tr>
      <w:tr w:rsidR="004C5E4C" w14:paraId="4C52B4ED" w14:textId="77777777" w:rsidTr="00ED1A74">
        <w:tc>
          <w:tcPr>
            <w:tcW w:w="2337" w:type="dxa"/>
            <w:shd w:val="clear" w:color="auto" w:fill="F2F2F2" w:themeFill="background1" w:themeFillShade="F2"/>
            <w:vAlign w:val="center"/>
          </w:tcPr>
          <w:p w14:paraId="220CC8E4" w14:textId="77777777" w:rsidR="004C5E4C" w:rsidRPr="00B463A5" w:rsidRDefault="004C5E4C" w:rsidP="00ED1A74">
            <w:pPr>
              <w:jc w:val="center"/>
              <w:rPr>
                <w:b/>
                <w:bCs/>
              </w:rPr>
            </w:pPr>
            <w:r>
              <w:rPr>
                <w:b/>
                <w:bCs/>
              </w:rPr>
              <w:t>CCPA</w:t>
            </w:r>
          </w:p>
        </w:tc>
        <w:tc>
          <w:tcPr>
            <w:tcW w:w="2337" w:type="dxa"/>
            <w:vAlign w:val="center"/>
          </w:tcPr>
          <w:p w14:paraId="5CC58CB2" w14:textId="4300CFBF" w:rsidR="004C5E4C" w:rsidRDefault="00840CD4" w:rsidP="001D17DB">
            <w:pPr>
              <w:jc w:val="center"/>
            </w:pPr>
            <w:r>
              <w:t>California State law that creates certain privacy rights for California consumers</w:t>
            </w:r>
            <w:r w:rsidR="001D17DB">
              <w:t>’ information and how it is used by businesses.</w:t>
            </w:r>
          </w:p>
        </w:tc>
        <w:tc>
          <w:tcPr>
            <w:tcW w:w="2338" w:type="dxa"/>
            <w:vAlign w:val="center"/>
          </w:tcPr>
          <w:p w14:paraId="21B366C7" w14:textId="29A6085F" w:rsidR="004C5E4C" w:rsidRDefault="001D17DB" w:rsidP="00ED1A74">
            <w:pPr>
              <w:jc w:val="center"/>
            </w:pPr>
            <w:r>
              <w:t>Gives individuals rights to know how a business is using their information, the right to opt out, and the right to have the company delete this information</w:t>
            </w:r>
            <w:r w:rsidR="00B058EB">
              <w:t xml:space="preserve">; requires companies to have reasonable security practices regarding consumer data, such as encryption; requires companies to minimize how much data they collect, create policies for data retention and disposal, notice of </w:t>
            </w:r>
            <w:r w:rsidR="00B058EB">
              <w:lastRenderedPageBreak/>
              <w:t>breach, consumer disclosures, and transparency in giving clear privacy notices to consumers.</w:t>
            </w:r>
          </w:p>
        </w:tc>
        <w:tc>
          <w:tcPr>
            <w:tcW w:w="2338" w:type="dxa"/>
            <w:vAlign w:val="center"/>
          </w:tcPr>
          <w:p w14:paraId="7A7A9929" w14:textId="1F52D67A" w:rsidR="004C5E4C" w:rsidRDefault="001D17DB" w:rsidP="00ED1A74">
            <w:pPr>
              <w:jc w:val="center"/>
            </w:pPr>
            <w:r>
              <w:lastRenderedPageBreak/>
              <w:t>California Attorney General, California Privacy Protection Agency, individuals can file lawsuits for violations</w:t>
            </w:r>
          </w:p>
        </w:tc>
      </w:tr>
      <w:tr w:rsidR="004C5E4C" w14:paraId="03CA7785" w14:textId="77777777" w:rsidTr="00ED1A74">
        <w:tc>
          <w:tcPr>
            <w:tcW w:w="2337" w:type="dxa"/>
            <w:shd w:val="clear" w:color="auto" w:fill="F2F2F2" w:themeFill="background1" w:themeFillShade="F2"/>
            <w:vAlign w:val="center"/>
          </w:tcPr>
          <w:p w14:paraId="1BF3CBD4" w14:textId="6CE8AE99" w:rsidR="004C5E4C" w:rsidRPr="00B463A5" w:rsidRDefault="004C5E4C" w:rsidP="00ED1A74">
            <w:pPr>
              <w:jc w:val="center"/>
              <w:rPr>
                <w:b/>
                <w:bCs/>
              </w:rPr>
            </w:pPr>
            <w:r>
              <w:rPr>
                <w:b/>
                <w:bCs/>
              </w:rPr>
              <w:t>GDPR</w:t>
            </w:r>
          </w:p>
        </w:tc>
        <w:tc>
          <w:tcPr>
            <w:tcW w:w="2337" w:type="dxa"/>
            <w:vAlign w:val="center"/>
          </w:tcPr>
          <w:p w14:paraId="72DF54C9" w14:textId="3E0AB700" w:rsidR="004C5E4C" w:rsidRDefault="005B0786" w:rsidP="00ED1A74">
            <w:pPr>
              <w:jc w:val="center"/>
            </w:pPr>
            <w:r>
              <w:t>EU law mandating that organizations and companies must use EU citizens’ personal data in an integrity friendly way.</w:t>
            </w:r>
          </w:p>
        </w:tc>
        <w:tc>
          <w:tcPr>
            <w:tcW w:w="2338" w:type="dxa"/>
            <w:vAlign w:val="center"/>
          </w:tcPr>
          <w:p w14:paraId="1D9CE021" w14:textId="56E563A3" w:rsidR="004C5E4C" w:rsidRDefault="005B0786" w:rsidP="00ED1A74">
            <w:pPr>
              <w:jc w:val="center"/>
            </w:pPr>
            <w:r>
              <w:t>Transparency, efficiency and integrity in data handling, have a Data Protection Officer, keep a data inventory, set up processes to manage data breaches within 72 hours, Data Protection Impact Assessment</w:t>
            </w:r>
          </w:p>
        </w:tc>
        <w:tc>
          <w:tcPr>
            <w:tcW w:w="2338" w:type="dxa"/>
            <w:vAlign w:val="center"/>
          </w:tcPr>
          <w:p w14:paraId="5E29C72A" w14:textId="162EE31A" w:rsidR="004C5E4C" w:rsidRDefault="00B376EF" w:rsidP="00B376EF">
            <w:pPr>
              <w:jc w:val="center"/>
            </w:pPr>
            <w:r>
              <w:t xml:space="preserve">Data Protection Agencies located </w:t>
            </w:r>
            <w:r w:rsidR="00B058EB">
              <w:t xml:space="preserve"> </w:t>
            </w:r>
            <w:r>
              <w:t>in each EU member state, individuals who suspect violations can make complaints or send tips to DPAs</w:t>
            </w:r>
          </w:p>
        </w:tc>
      </w:tr>
      <w:tr w:rsidR="004C5E4C" w14:paraId="36B2F5D8" w14:textId="77777777" w:rsidTr="00ED1A74">
        <w:tc>
          <w:tcPr>
            <w:tcW w:w="2337" w:type="dxa"/>
            <w:shd w:val="clear" w:color="auto" w:fill="F2F2F2" w:themeFill="background1" w:themeFillShade="F2"/>
            <w:vAlign w:val="center"/>
          </w:tcPr>
          <w:p w14:paraId="0957D3F4" w14:textId="77777777" w:rsidR="004C5E4C" w:rsidRPr="00B463A5" w:rsidRDefault="004C5E4C" w:rsidP="00ED1A74">
            <w:pPr>
              <w:jc w:val="center"/>
              <w:rPr>
                <w:b/>
                <w:bCs/>
              </w:rPr>
            </w:pPr>
            <w:r>
              <w:rPr>
                <w:b/>
                <w:bCs/>
              </w:rPr>
              <w:t>COPPA</w:t>
            </w:r>
          </w:p>
        </w:tc>
        <w:tc>
          <w:tcPr>
            <w:tcW w:w="2337" w:type="dxa"/>
            <w:vAlign w:val="center"/>
          </w:tcPr>
          <w:p w14:paraId="096AF8AF" w14:textId="021CA6F6" w:rsidR="004C5E4C" w:rsidRDefault="00332E29" w:rsidP="00ED1A74">
            <w:pPr>
              <w:jc w:val="center"/>
            </w:pPr>
            <w:r>
              <w:t xml:space="preserve">A US </w:t>
            </w:r>
            <w:r w:rsidR="00840CD4">
              <w:t xml:space="preserve">federal </w:t>
            </w:r>
            <w:r>
              <w:t>law that protects the privacy of children under the age of 13 by requesting parental consent for the collection of any personal information of the users.</w:t>
            </w:r>
          </w:p>
        </w:tc>
        <w:tc>
          <w:tcPr>
            <w:tcW w:w="2338" w:type="dxa"/>
            <w:vAlign w:val="center"/>
          </w:tcPr>
          <w:p w14:paraId="67D2F829" w14:textId="414FA1E1" w:rsidR="004C5E4C" w:rsidRDefault="00D21A37" w:rsidP="00ED1A74">
            <w:pPr>
              <w:jc w:val="center"/>
            </w:pPr>
            <w:r>
              <w:t>Detailed privacy policy, verifiable parental consent for minors under 13, disclosure of collected data to parents, a right to revoke consent and delete information, protect the CIA of children’s PII</w:t>
            </w:r>
          </w:p>
        </w:tc>
        <w:tc>
          <w:tcPr>
            <w:tcW w:w="2338" w:type="dxa"/>
            <w:vAlign w:val="center"/>
          </w:tcPr>
          <w:p w14:paraId="23872BA4" w14:textId="77777777" w:rsidR="004C5E4C" w:rsidRDefault="004C5E4C" w:rsidP="00ED1A74">
            <w:pPr>
              <w:jc w:val="center"/>
            </w:pPr>
          </w:p>
          <w:p w14:paraId="13A1F7E4" w14:textId="44D60F90" w:rsidR="004C5E4C" w:rsidRDefault="005B0786" w:rsidP="00ED1A74">
            <w:pPr>
              <w:jc w:val="center"/>
            </w:pPr>
            <w:r>
              <w:t>The FTC can impose civil penalties for violators, state attorney generals can bring actions to federal district courts to enforce compliance, parents can file complaints</w:t>
            </w:r>
          </w:p>
          <w:p w14:paraId="47AF99FA" w14:textId="77777777" w:rsidR="004C5E4C" w:rsidRDefault="004C5E4C" w:rsidP="00ED1A74">
            <w:pPr>
              <w:jc w:val="center"/>
            </w:pPr>
          </w:p>
        </w:tc>
      </w:tr>
      <w:tr w:rsidR="004C5E4C" w14:paraId="463612BC" w14:textId="77777777" w:rsidTr="00ED1A74">
        <w:tc>
          <w:tcPr>
            <w:tcW w:w="2337" w:type="dxa"/>
            <w:shd w:val="clear" w:color="auto" w:fill="F2F2F2" w:themeFill="background1" w:themeFillShade="F2"/>
            <w:vAlign w:val="center"/>
          </w:tcPr>
          <w:p w14:paraId="0A8E3A23" w14:textId="77777777" w:rsidR="004C5E4C" w:rsidRDefault="004C5E4C" w:rsidP="00ED1A74">
            <w:pPr>
              <w:jc w:val="center"/>
              <w:rPr>
                <w:b/>
                <w:bCs/>
              </w:rPr>
            </w:pPr>
          </w:p>
          <w:p w14:paraId="0D58FBF4" w14:textId="77777777" w:rsidR="004C5E4C" w:rsidRDefault="004C5E4C" w:rsidP="00ED1A74">
            <w:pPr>
              <w:jc w:val="center"/>
              <w:rPr>
                <w:b/>
                <w:bCs/>
              </w:rPr>
            </w:pPr>
            <w:r>
              <w:rPr>
                <w:b/>
                <w:bCs/>
              </w:rPr>
              <w:t>FCRA</w:t>
            </w:r>
          </w:p>
          <w:p w14:paraId="29C66BB3" w14:textId="77777777" w:rsidR="004C5E4C" w:rsidRDefault="004C5E4C" w:rsidP="00ED1A74">
            <w:pPr>
              <w:jc w:val="center"/>
              <w:rPr>
                <w:b/>
                <w:bCs/>
              </w:rPr>
            </w:pPr>
          </w:p>
        </w:tc>
        <w:tc>
          <w:tcPr>
            <w:tcW w:w="2337" w:type="dxa"/>
            <w:vAlign w:val="center"/>
          </w:tcPr>
          <w:p w14:paraId="3C1E8460" w14:textId="1A2AABA7" w:rsidR="004C5E4C" w:rsidRDefault="00A623AC" w:rsidP="00ED1A74">
            <w:pPr>
              <w:jc w:val="center"/>
            </w:pPr>
            <w:r>
              <w:t>US federal law that helps to ensure the accuracy, fairness, and privacy of the information in consumer credit bureau files</w:t>
            </w:r>
          </w:p>
        </w:tc>
        <w:tc>
          <w:tcPr>
            <w:tcW w:w="2338" w:type="dxa"/>
            <w:vAlign w:val="center"/>
          </w:tcPr>
          <w:p w14:paraId="79C92240" w14:textId="2B954FFF" w:rsidR="004C5E4C" w:rsidRDefault="00C64AC4" w:rsidP="00C64AC4">
            <w:pPr>
              <w:jc w:val="center"/>
            </w:pPr>
            <w:r>
              <w:t>L</w:t>
            </w:r>
            <w:r>
              <w:t>imits access to owner of the file and only others with  ‘permissible purpose’ to view it</w:t>
            </w:r>
            <w:r>
              <w:t>, requires accuracy and privacy of information, and g</w:t>
            </w:r>
            <w:r w:rsidR="00A623AC">
              <w:t xml:space="preserve">ives consumers the </w:t>
            </w:r>
            <w:r w:rsidR="00A623AC" w:rsidRPr="00A623AC">
              <w:t>right</w:t>
            </w:r>
            <w:r w:rsidR="00A623AC">
              <w:t xml:space="preserve"> to: request and access their information, be informed if the </w:t>
            </w:r>
            <w:r w:rsidR="00A623AC">
              <w:lastRenderedPageBreak/>
              <w:t>information is used against them, dispute inaccurate information, and freeze their credit</w:t>
            </w:r>
          </w:p>
        </w:tc>
        <w:tc>
          <w:tcPr>
            <w:tcW w:w="2338" w:type="dxa"/>
            <w:vAlign w:val="center"/>
          </w:tcPr>
          <w:p w14:paraId="3433E71D" w14:textId="3C83E92E" w:rsidR="004C5E4C" w:rsidRDefault="00A623AC" w:rsidP="00ED1A74">
            <w:pPr>
              <w:jc w:val="center"/>
            </w:pPr>
            <w:r>
              <w:lastRenderedPageBreak/>
              <w:t>Consumer reporting agencies, state Attorney General, Federal Trade Commission, and Consumer Financial Protection Bureau</w:t>
            </w:r>
          </w:p>
        </w:tc>
      </w:tr>
      <w:tr w:rsidR="004C5E4C" w14:paraId="3CBF4B33" w14:textId="77777777" w:rsidTr="00ED1A74">
        <w:tc>
          <w:tcPr>
            <w:tcW w:w="2337" w:type="dxa"/>
            <w:shd w:val="clear" w:color="auto" w:fill="F2F2F2" w:themeFill="background1" w:themeFillShade="F2"/>
            <w:vAlign w:val="center"/>
          </w:tcPr>
          <w:p w14:paraId="23798FEA" w14:textId="77777777" w:rsidR="004C5E4C" w:rsidRDefault="004C5E4C" w:rsidP="00ED1A74">
            <w:pPr>
              <w:jc w:val="center"/>
              <w:rPr>
                <w:b/>
                <w:bCs/>
              </w:rPr>
            </w:pPr>
          </w:p>
          <w:p w14:paraId="0992C0C7" w14:textId="77777777" w:rsidR="004C5E4C" w:rsidRDefault="004C5E4C" w:rsidP="00ED1A74">
            <w:pPr>
              <w:jc w:val="center"/>
              <w:rPr>
                <w:b/>
                <w:bCs/>
              </w:rPr>
            </w:pPr>
            <w:r>
              <w:rPr>
                <w:b/>
                <w:bCs/>
              </w:rPr>
              <w:t>ECPA</w:t>
            </w:r>
          </w:p>
          <w:p w14:paraId="5DFA51AE" w14:textId="77777777" w:rsidR="004C5E4C" w:rsidRDefault="004C5E4C" w:rsidP="00ED1A74">
            <w:pPr>
              <w:jc w:val="center"/>
              <w:rPr>
                <w:b/>
                <w:bCs/>
              </w:rPr>
            </w:pPr>
          </w:p>
        </w:tc>
        <w:tc>
          <w:tcPr>
            <w:tcW w:w="2337" w:type="dxa"/>
            <w:vAlign w:val="center"/>
          </w:tcPr>
          <w:p w14:paraId="671C73AC" w14:textId="7207DA1D" w:rsidR="004C5E4C" w:rsidRDefault="00FD399F" w:rsidP="00ED1A74">
            <w:pPr>
              <w:jc w:val="center"/>
            </w:pPr>
            <w:r>
              <w:t>A US federal law expanding laws protecting individuals from wiretapping and electronic eavesdropping</w:t>
            </w:r>
          </w:p>
        </w:tc>
        <w:tc>
          <w:tcPr>
            <w:tcW w:w="2338" w:type="dxa"/>
            <w:vAlign w:val="center"/>
          </w:tcPr>
          <w:p w14:paraId="498E8A2A" w14:textId="14285AB2" w:rsidR="004C5E4C" w:rsidRDefault="00FD399F" w:rsidP="00ED1A74">
            <w:pPr>
              <w:jc w:val="center"/>
            </w:pPr>
            <w:r>
              <w:t>Requires at least single-party consent for recording conversations, prohibits individuals from attempting to electronically capture any kind of communication and from disclosing information gathered in this way, stored communications are protected from unlawful access, and there are restrictions on disclosure of communications.</w:t>
            </w:r>
          </w:p>
        </w:tc>
        <w:tc>
          <w:tcPr>
            <w:tcW w:w="2338" w:type="dxa"/>
            <w:vAlign w:val="center"/>
          </w:tcPr>
          <w:p w14:paraId="7C5750AF" w14:textId="314A8D2B" w:rsidR="004C5E4C" w:rsidRDefault="00FD399F" w:rsidP="00ED1A74">
            <w:pPr>
              <w:jc w:val="center"/>
            </w:pPr>
            <w:r>
              <w:t xml:space="preserve">Federal law enforcement (FBI, ATF), The FTC (as it relates to private businesses violating this act </w:t>
            </w:r>
            <w:r w:rsidR="00840CD4">
              <w:t>against consumers), Federal/State courts, Department of Justice</w:t>
            </w:r>
          </w:p>
        </w:tc>
      </w:tr>
    </w:tbl>
    <w:p w14:paraId="4975B7CD" w14:textId="77777777" w:rsidR="00F1301B" w:rsidRDefault="00F1301B" w:rsidP="003D3534">
      <w:pPr>
        <w:spacing w:after="0" w:line="480" w:lineRule="auto"/>
        <w:jc w:val="center"/>
        <w:rPr>
          <w:rFonts w:ascii="Times New Roman" w:hAnsi="Times New Roman" w:cs="Times New Roman"/>
          <w:b/>
          <w:bCs/>
          <w:u w:val="single"/>
        </w:rPr>
      </w:pPr>
    </w:p>
    <w:p w14:paraId="74C38F50" w14:textId="02AD3277" w:rsidR="003D3534" w:rsidRPr="003D3534" w:rsidRDefault="003D3534" w:rsidP="003D3534">
      <w:pPr>
        <w:spacing w:after="0" w:line="480" w:lineRule="auto"/>
        <w:jc w:val="center"/>
        <w:rPr>
          <w:rFonts w:ascii="Times New Roman" w:hAnsi="Times New Roman" w:cs="Times New Roman"/>
          <w:b/>
          <w:bCs/>
          <w:u w:val="single"/>
        </w:rPr>
      </w:pPr>
      <w:r>
        <w:rPr>
          <w:rFonts w:ascii="Times New Roman" w:hAnsi="Times New Roman" w:cs="Times New Roman"/>
          <w:b/>
          <w:bCs/>
          <w:u w:val="single"/>
        </w:rPr>
        <w:t>Sources</w:t>
      </w:r>
    </w:p>
    <w:p w14:paraId="53310342" w14:textId="77777777" w:rsidR="00D21A37" w:rsidRPr="00D21A37" w:rsidRDefault="00D21A37" w:rsidP="00D21A37">
      <w:pPr>
        <w:ind w:left="720" w:hanging="720"/>
        <w:rPr>
          <w:rFonts w:ascii="Times New Roman" w:hAnsi="Times New Roman" w:cs="Times New Roman"/>
        </w:rPr>
      </w:pPr>
      <w:r w:rsidRPr="00D21A37">
        <w:rPr>
          <w:rFonts w:ascii="Times New Roman" w:hAnsi="Times New Roman" w:cs="Times New Roman"/>
        </w:rPr>
        <w:t>Electronic Privacy Information Center.  “Children’s Privacy – EPIC – Electronic Privacy Information Center.” </w:t>
      </w:r>
      <w:r w:rsidRPr="00D21A37">
        <w:rPr>
          <w:rFonts w:ascii="Times New Roman" w:hAnsi="Times New Roman" w:cs="Times New Roman"/>
          <w:i/>
          <w:iCs/>
        </w:rPr>
        <w:t>Epic.org</w:t>
      </w:r>
      <w:r w:rsidRPr="00D21A37">
        <w:rPr>
          <w:rFonts w:ascii="Times New Roman" w:hAnsi="Times New Roman" w:cs="Times New Roman"/>
        </w:rPr>
        <w:t xml:space="preserve">, </w:t>
      </w:r>
      <w:hyperlink r:id="rId5" w:history="1">
        <w:r w:rsidRPr="00D21A37">
          <w:rPr>
            <w:rStyle w:val="Hyperlink"/>
            <w:rFonts w:ascii="Times New Roman" w:hAnsi="Times New Roman" w:cs="Times New Roman"/>
          </w:rPr>
          <w:t>www.epic.org/issues/data-protection/childrens-privacy/</w:t>
        </w:r>
      </w:hyperlink>
      <w:r w:rsidRPr="00D21A37">
        <w:rPr>
          <w:rFonts w:ascii="Times New Roman" w:hAnsi="Times New Roman" w:cs="Times New Roman"/>
        </w:rPr>
        <w:t>.</w:t>
      </w:r>
    </w:p>
    <w:p w14:paraId="1A56D93D" w14:textId="77777777" w:rsidR="00D21A37" w:rsidRPr="00D21A37" w:rsidRDefault="00D21A37" w:rsidP="00D21A37">
      <w:pPr>
        <w:ind w:left="720" w:hanging="720"/>
        <w:rPr>
          <w:rFonts w:ascii="Times New Roman" w:hAnsi="Times New Roman" w:cs="Times New Roman"/>
        </w:rPr>
      </w:pPr>
      <w:r w:rsidRPr="00D21A37">
        <w:rPr>
          <w:rFonts w:ascii="Times New Roman" w:hAnsi="Times New Roman" w:cs="Times New Roman"/>
        </w:rPr>
        <w:t>Electronic Privacy Information Center. “Electronic Communications Privacy Act (ECPA).” </w:t>
      </w:r>
      <w:r w:rsidRPr="00D21A37">
        <w:rPr>
          <w:rFonts w:ascii="Times New Roman" w:hAnsi="Times New Roman" w:cs="Times New Roman"/>
          <w:i/>
          <w:iCs/>
        </w:rPr>
        <w:t>Epic.org</w:t>
      </w:r>
      <w:r w:rsidRPr="00D21A37">
        <w:rPr>
          <w:rFonts w:ascii="Times New Roman" w:hAnsi="Times New Roman" w:cs="Times New Roman"/>
        </w:rPr>
        <w:t xml:space="preserve">, 2024, </w:t>
      </w:r>
      <w:hyperlink r:id="rId6" w:history="1">
        <w:r w:rsidRPr="00D21A37">
          <w:rPr>
            <w:rStyle w:val="Hyperlink"/>
            <w:rFonts w:ascii="Times New Roman" w:hAnsi="Times New Roman" w:cs="Times New Roman"/>
          </w:rPr>
          <w:t>https://epic.org/ecpa/</w:t>
        </w:r>
      </w:hyperlink>
      <w:r w:rsidRPr="00D21A37">
        <w:rPr>
          <w:rFonts w:ascii="Times New Roman" w:hAnsi="Times New Roman" w:cs="Times New Roman"/>
        </w:rPr>
        <w:t>.</w:t>
      </w:r>
    </w:p>
    <w:p w14:paraId="10D8BFF8" w14:textId="77777777" w:rsidR="00D21A37" w:rsidRPr="00D21A37" w:rsidRDefault="00D21A37" w:rsidP="00D21A37">
      <w:pPr>
        <w:ind w:left="720" w:hanging="720"/>
        <w:rPr>
          <w:rFonts w:ascii="Times New Roman" w:hAnsi="Times New Roman" w:cs="Times New Roman"/>
        </w:rPr>
      </w:pPr>
      <w:r w:rsidRPr="00D21A37">
        <w:rPr>
          <w:rFonts w:ascii="Times New Roman" w:hAnsi="Times New Roman" w:cs="Times New Roman"/>
        </w:rPr>
        <w:t xml:space="preserve">Experian. “Understanding the Fair Credit Reporting Act.” </w:t>
      </w:r>
      <w:r w:rsidRPr="00D21A37">
        <w:rPr>
          <w:rFonts w:ascii="Times New Roman" w:hAnsi="Times New Roman" w:cs="Times New Roman"/>
          <w:i/>
          <w:iCs/>
        </w:rPr>
        <w:t>Experian.com</w:t>
      </w:r>
      <w:r w:rsidRPr="00D21A37">
        <w:rPr>
          <w:rFonts w:ascii="Times New Roman" w:hAnsi="Times New Roman" w:cs="Times New Roman"/>
        </w:rPr>
        <w:t xml:space="preserve">, 22 Nov. 2019, </w:t>
      </w:r>
      <w:hyperlink r:id="rId7" w:history="1">
        <w:r w:rsidRPr="00D21A37">
          <w:rPr>
            <w:rStyle w:val="Hyperlink"/>
            <w:rFonts w:ascii="Times New Roman" w:hAnsi="Times New Roman" w:cs="Times New Roman"/>
          </w:rPr>
          <w:t>www.experian.com/blogs/ask-experian/credit-education/report-basics/fair-credit-reporting-act-fcra/</w:t>
        </w:r>
      </w:hyperlink>
      <w:r w:rsidRPr="00D21A37">
        <w:rPr>
          <w:rFonts w:ascii="Times New Roman" w:hAnsi="Times New Roman" w:cs="Times New Roman"/>
        </w:rPr>
        <w:t>.</w:t>
      </w:r>
    </w:p>
    <w:p w14:paraId="66495985" w14:textId="77777777" w:rsidR="00D21A37" w:rsidRPr="00D21A37" w:rsidRDefault="00D21A37" w:rsidP="00D21A37">
      <w:pPr>
        <w:ind w:left="720" w:hanging="720"/>
        <w:rPr>
          <w:rFonts w:ascii="Times New Roman" w:hAnsi="Times New Roman" w:cs="Times New Roman"/>
        </w:rPr>
      </w:pPr>
      <w:r w:rsidRPr="00D21A37">
        <w:rPr>
          <w:rFonts w:ascii="Times New Roman" w:hAnsi="Times New Roman" w:cs="Times New Roman"/>
        </w:rPr>
        <w:t>GDPR Summary. “GDPR Summary - an Overview of the General Data Protection Act.” </w:t>
      </w:r>
      <w:r w:rsidRPr="00D21A37">
        <w:rPr>
          <w:rFonts w:ascii="Times New Roman" w:hAnsi="Times New Roman" w:cs="Times New Roman"/>
          <w:i/>
          <w:iCs/>
        </w:rPr>
        <w:t>GDPR Summary</w:t>
      </w:r>
      <w:r w:rsidRPr="00D21A37">
        <w:rPr>
          <w:rFonts w:ascii="Times New Roman" w:hAnsi="Times New Roman" w:cs="Times New Roman"/>
        </w:rPr>
        <w:t xml:space="preserve">, 2024, </w:t>
      </w:r>
      <w:hyperlink r:id="rId8" w:history="1">
        <w:r w:rsidRPr="00D21A37">
          <w:rPr>
            <w:rStyle w:val="Hyperlink"/>
            <w:rFonts w:ascii="Times New Roman" w:hAnsi="Times New Roman" w:cs="Times New Roman"/>
          </w:rPr>
          <w:t>www.gdprsummary.com/gdpr-summary/</w:t>
        </w:r>
      </w:hyperlink>
      <w:r w:rsidRPr="00D21A37">
        <w:rPr>
          <w:rFonts w:ascii="Times New Roman" w:hAnsi="Times New Roman" w:cs="Times New Roman"/>
        </w:rPr>
        <w:t>.</w:t>
      </w:r>
    </w:p>
    <w:p w14:paraId="26FC27A6" w14:textId="77777777" w:rsidR="00D21A37" w:rsidRPr="00D21A37" w:rsidRDefault="00D21A37" w:rsidP="00D21A37">
      <w:pPr>
        <w:ind w:left="720" w:hanging="720"/>
        <w:rPr>
          <w:rFonts w:ascii="Times New Roman" w:hAnsi="Times New Roman" w:cs="Times New Roman"/>
        </w:rPr>
      </w:pPr>
      <w:r w:rsidRPr="00D21A37">
        <w:rPr>
          <w:rFonts w:ascii="Times New Roman" w:hAnsi="Times New Roman" w:cs="Times New Roman"/>
        </w:rPr>
        <w:t xml:space="preserve">Jones Day. “California Consumer Privacy Act Guide.” </w:t>
      </w:r>
      <w:r w:rsidRPr="00D21A37">
        <w:rPr>
          <w:rFonts w:ascii="Times New Roman" w:hAnsi="Times New Roman" w:cs="Times New Roman"/>
          <w:i/>
          <w:iCs/>
        </w:rPr>
        <w:t>Jones Day</w:t>
      </w:r>
      <w:r w:rsidRPr="00D21A37">
        <w:rPr>
          <w:rFonts w:ascii="Times New Roman" w:hAnsi="Times New Roman" w:cs="Times New Roman"/>
        </w:rPr>
        <w:t xml:space="preserve">, 2020, </w:t>
      </w:r>
      <w:hyperlink r:id="rId9" w:history="1">
        <w:r w:rsidRPr="00D21A37">
          <w:rPr>
            <w:rStyle w:val="Hyperlink"/>
            <w:rFonts w:ascii="Times New Roman" w:hAnsi="Times New Roman" w:cs="Times New Roman"/>
          </w:rPr>
          <w:t>http://www.jonesday.com/-/media/files/publications/2019/01/california-consumer-privacy-act-guidev2-july-2020-1.pdf</w:t>
        </w:r>
      </w:hyperlink>
    </w:p>
    <w:p w14:paraId="3289C719" w14:textId="2F394F8A" w:rsidR="00D21A37" w:rsidRPr="00D21A37" w:rsidRDefault="00D21A37" w:rsidP="00D21A37">
      <w:pPr>
        <w:ind w:left="720" w:hanging="720"/>
        <w:rPr>
          <w:rFonts w:ascii="Times New Roman" w:hAnsi="Times New Roman" w:cs="Times New Roman"/>
        </w:rPr>
      </w:pPr>
      <w:r w:rsidRPr="00D21A37">
        <w:rPr>
          <w:rFonts w:ascii="Times New Roman" w:hAnsi="Times New Roman" w:cs="Times New Roman"/>
        </w:rPr>
        <w:lastRenderedPageBreak/>
        <w:t>Loyola Marymount</w:t>
      </w:r>
      <w:r w:rsidR="00C87334">
        <w:rPr>
          <w:rFonts w:ascii="Times New Roman" w:hAnsi="Times New Roman" w:cs="Times New Roman"/>
        </w:rPr>
        <w:t xml:space="preserve"> University</w:t>
      </w:r>
      <w:r w:rsidRPr="00D21A37">
        <w:rPr>
          <w:rFonts w:ascii="Times New Roman" w:hAnsi="Times New Roman" w:cs="Times New Roman"/>
        </w:rPr>
        <w:t>. “FERPA - Rights and Privacy Act - Loyola Marymount University.” </w:t>
      </w:r>
      <w:r w:rsidRPr="00D21A37">
        <w:rPr>
          <w:rFonts w:ascii="Times New Roman" w:hAnsi="Times New Roman" w:cs="Times New Roman"/>
          <w:i/>
          <w:iCs/>
        </w:rPr>
        <w:t>Registrar.lmu.edu</w:t>
      </w:r>
      <w:r w:rsidRPr="00D21A37">
        <w:rPr>
          <w:rFonts w:ascii="Times New Roman" w:hAnsi="Times New Roman" w:cs="Times New Roman"/>
        </w:rPr>
        <w:t xml:space="preserve">, </w:t>
      </w:r>
      <w:hyperlink r:id="rId10" w:history="1">
        <w:r w:rsidRPr="00D21A37">
          <w:rPr>
            <w:rStyle w:val="Hyperlink"/>
            <w:rFonts w:ascii="Times New Roman" w:hAnsi="Times New Roman" w:cs="Times New Roman"/>
          </w:rPr>
          <w:t>https://registrar.lmu.edu/ferpa-rightsandprivacyact/</w:t>
        </w:r>
      </w:hyperlink>
      <w:r w:rsidRPr="00D21A37">
        <w:rPr>
          <w:rFonts w:ascii="Times New Roman" w:hAnsi="Times New Roman" w:cs="Times New Roman"/>
        </w:rPr>
        <w:t>.</w:t>
      </w:r>
    </w:p>
    <w:p w14:paraId="467EA863" w14:textId="1DEE1F3C" w:rsidR="00F1301B" w:rsidRPr="00F1301B" w:rsidRDefault="00F1301B" w:rsidP="00D21A37">
      <w:pPr>
        <w:ind w:left="720" w:hanging="720"/>
        <w:rPr>
          <w:rFonts w:ascii="Times New Roman" w:hAnsi="Times New Roman" w:cs="Times New Roman"/>
        </w:rPr>
      </w:pPr>
    </w:p>
    <w:sectPr w:rsidR="00F1301B" w:rsidRPr="00F13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1AE"/>
    <w:multiLevelType w:val="hybridMultilevel"/>
    <w:tmpl w:val="C35646CC"/>
    <w:lvl w:ilvl="0" w:tplc="262CD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DF690C"/>
    <w:multiLevelType w:val="hybridMultilevel"/>
    <w:tmpl w:val="B9EAF8D0"/>
    <w:lvl w:ilvl="0" w:tplc="3940C82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901A0"/>
    <w:multiLevelType w:val="hybridMultilevel"/>
    <w:tmpl w:val="BAACC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925B8"/>
    <w:multiLevelType w:val="hybridMultilevel"/>
    <w:tmpl w:val="045ECDFC"/>
    <w:lvl w:ilvl="0" w:tplc="29B2D5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7A2F8F"/>
    <w:multiLevelType w:val="multilevel"/>
    <w:tmpl w:val="7FC2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16359"/>
    <w:multiLevelType w:val="hybridMultilevel"/>
    <w:tmpl w:val="EC5401B8"/>
    <w:lvl w:ilvl="0" w:tplc="589844BC">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757A7"/>
    <w:multiLevelType w:val="hybridMultilevel"/>
    <w:tmpl w:val="F91665DC"/>
    <w:lvl w:ilvl="0" w:tplc="6324B3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1C3726"/>
    <w:multiLevelType w:val="hybridMultilevel"/>
    <w:tmpl w:val="BC9C3D58"/>
    <w:lvl w:ilvl="0" w:tplc="D64805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C158EA"/>
    <w:multiLevelType w:val="hybridMultilevel"/>
    <w:tmpl w:val="877C3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B22D06"/>
    <w:multiLevelType w:val="hybridMultilevel"/>
    <w:tmpl w:val="7C4254BE"/>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D4301A0"/>
    <w:multiLevelType w:val="hybridMultilevel"/>
    <w:tmpl w:val="FBA6C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B729E5"/>
    <w:multiLevelType w:val="hybridMultilevel"/>
    <w:tmpl w:val="A620C4C2"/>
    <w:lvl w:ilvl="0" w:tplc="31C484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D515E02"/>
    <w:multiLevelType w:val="hybridMultilevel"/>
    <w:tmpl w:val="7AA2F978"/>
    <w:lvl w:ilvl="0" w:tplc="F6DCFD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11E3C23"/>
    <w:multiLevelType w:val="hybridMultilevel"/>
    <w:tmpl w:val="03F8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016F3C"/>
    <w:multiLevelType w:val="hybridMultilevel"/>
    <w:tmpl w:val="815E94D0"/>
    <w:lvl w:ilvl="0" w:tplc="C4DCD6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9125B6E"/>
    <w:multiLevelType w:val="hybridMultilevel"/>
    <w:tmpl w:val="5B986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5426A6"/>
    <w:multiLevelType w:val="hybridMultilevel"/>
    <w:tmpl w:val="52F86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3400D1"/>
    <w:multiLevelType w:val="hybridMultilevel"/>
    <w:tmpl w:val="61E4EE9E"/>
    <w:lvl w:ilvl="0" w:tplc="267A6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A82073"/>
    <w:multiLevelType w:val="hybridMultilevel"/>
    <w:tmpl w:val="2CC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E93914"/>
    <w:multiLevelType w:val="hybridMultilevel"/>
    <w:tmpl w:val="EDE89DF2"/>
    <w:lvl w:ilvl="0" w:tplc="FD5A29E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73320DCD"/>
    <w:multiLevelType w:val="hybridMultilevel"/>
    <w:tmpl w:val="C278EEDC"/>
    <w:lvl w:ilvl="0" w:tplc="34BEAAA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C326339"/>
    <w:multiLevelType w:val="hybridMultilevel"/>
    <w:tmpl w:val="0D0E1D02"/>
    <w:lvl w:ilvl="0" w:tplc="34FC043E">
      <w:start w:val="1"/>
      <w:numFmt w:val="decimal"/>
      <w:lvlText w:val="%1."/>
      <w:lvlJc w:val="left"/>
      <w:pPr>
        <w:ind w:left="1080" w:hanging="360"/>
      </w:pPr>
      <w:rPr>
        <w:rFonts w:hint="default"/>
        <w:b w:val="0"/>
        <w:u w:val="no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44813">
    <w:abstractNumId w:val="17"/>
  </w:num>
  <w:num w:numId="2" w16cid:durableId="534856096">
    <w:abstractNumId w:val="7"/>
  </w:num>
  <w:num w:numId="3" w16cid:durableId="756445842">
    <w:abstractNumId w:val="1"/>
  </w:num>
  <w:num w:numId="4" w16cid:durableId="1204755710">
    <w:abstractNumId w:val="10"/>
  </w:num>
  <w:num w:numId="5" w16cid:durableId="1935361629">
    <w:abstractNumId w:val="6"/>
  </w:num>
  <w:num w:numId="6" w16cid:durableId="300118837">
    <w:abstractNumId w:val="20"/>
  </w:num>
  <w:num w:numId="7" w16cid:durableId="164711967">
    <w:abstractNumId w:val="4"/>
  </w:num>
  <w:num w:numId="8" w16cid:durableId="2094744277">
    <w:abstractNumId w:val="3"/>
  </w:num>
  <w:num w:numId="9" w16cid:durableId="1358503794">
    <w:abstractNumId w:val="9"/>
  </w:num>
  <w:num w:numId="10" w16cid:durableId="24059641">
    <w:abstractNumId w:val="12"/>
  </w:num>
  <w:num w:numId="11" w16cid:durableId="323094424">
    <w:abstractNumId w:val="5"/>
  </w:num>
  <w:num w:numId="12" w16cid:durableId="780103801">
    <w:abstractNumId w:val="0"/>
  </w:num>
  <w:num w:numId="13" w16cid:durableId="569582016">
    <w:abstractNumId w:val="19"/>
  </w:num>
  <w:num w:numId="14" w16cid:durableId="193540422">
    <w:abstractNumId w:val="13"/>
  </w:num>
  <w:num w:numId="15" w16cid:durableId="951744670">
    <w:abstractNumId w:val="11"/>
  </w:num>
  <w:num w:numId="16" w16cid:durableId="347295048">
    <w:abstractNumId w:val="18"/>
  </w:num>
  <w:num w:numId="17" w16cid:durableId="858735551">
    <w:abstractNumId w:val="15"/>
  </w:num>
  <w:num w:numId="18" w16cid:durableId="928275164">
    <w:abstractNumId w:val="14"/>
  </w:num>
  <w:num w:numId="19" w16cid:durableId="83115928">
    <w:abstractNumId w:val="2"/>
  </w:num>
  <w:num w:numId="20" w16cid:durableId="1289625119">
    <w:abstractNumId w:val="8"/>
  </w:num>
  <w:num w:numId="21" w16cid:durableId="1245993240">
    <w:abstractNumId w:val="16"/>
  </w:num>
  <w:num w:numId="22" w16cid:durableId="11737583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30"/>
    <w:rsid w:val="00006347"/>
    <w:rsid w:val="00024C04"/>
    <w:rsid w:val="00050C9C"/>
    <w:rsid w:val="000701ED"/>
    <w:rsid w:val="0007260D"/>
    <w:rsid w:val="00085EBD"/>
    <w:rsid w:val="000A2549"/>
    <w:rsid w:val="000A3328"/>
    <w:rsid w:val="000B1B15"/>
    <w:rsid w:val="000C1A1E"/>
    <w:rsid w:val="000C29AE"/>
    <w:rsid w:val="0010145A"/>
    <w:rsid w:val="00117C8B"/>
    <w:rsid w:val="001265A5"/>
    <w:rsid w:val="00152084"/>
    <w:rsid w:val="00154BE1"/>
    <w:rsid w:val="0015756C"/>
    <w:rsid w:val="0017227C"/>
    <w:rsid w:val="00173148"/>
    <w:rsid w:val="001931FE"/>
    <w:rsid w:val="001D17DB"/>
    <w:rsid w:val="001D52EA"/>
    <w:rsid w:val="001F0A48"/>
    <w:rsid w:val="001F398A"/>
    <w:rsid w:val="001F590F"/>
    <w:rsid w:val="00212E07"/>
    <w:rsid w:val="00231200"/>
    <w:rsid w:val="00232F3C"/>
    <w:rsid w:val="002439E1"/>
    <w:rsid w:val="002908F9"/>
    <w:rsid w:val="0029315A"/>
    <w:rsid w:val="002A7D37"/>
    <w:rsid w:val="002C35A1"/>
    <w:rsid w:val="002D248D"/>
    <w:rsid w:val="002D4BC0"/>
    <w:rsid w:val="002F58E4"/>
    <w:rsid w:val="00316E42"/>
    <w:rsid w:val="00332E29"/>
    <w:rsid w:val="003365ED"/>
    <w:rsid w:val="003409AE"/>
    <w:rsid w:val="00342786"/>
    <w:rsid w:val="003444E5"/>
    <w:rsid w:val="003529D0"/>
    <w:rsid w:val="00353503"/>
    <w:rsid w:val="00361E19"/>
    <w:rsid w:val="0036369D"/>
    <w:rsid w:val="00366633"/>
    <w:rsid w:val="00384B84"/>
    <w:rsid w:val="00385DC2"/>
    <w:rsid w:val="0039572D"/>
    <w:rsid w:val="003B0437"/>
    <w:rsid w:val="003C7EB7"/>
    <w:rsid w:val="003D1C77"/>
    <w:rsid w:val="003D3534"/>
    <w:rsid w:val="003E1333"/>
    <w:rsid w:val="004028FB"/>
    <w:rsid w:val="004105B0"/>
    <w:rsid w:val="0041475E"/>
    <w:rsid w:val="00415A8F"/>
    <w:rsid w:val="00433A9D"/>
    <w:rsid w:val="004372C6"/>
    <w:rsid w:val="004513DB"/>
    <w:rsid w:val="004654C7"/>
    <w:rsid w:val="004860ED"/>
    <w:rsid w:val="004A7605"/>
    <w:rsid w:val="004B1D2C"/>
    <w:rsid w:val="004B60F9"/>
    <w:rsid w:val="004C5E4C"/>
    <w:rsid w:val="004F6B20"/>
    <w:rsid w:val="004F6E30"/>
    <w:rsid w:val="00511AA3"/>
    <w:rsid w:val="005217D2"/>
    <w:rsid w:val="005221E7"/>
    <w:rsid w:val="005252C4"/>
    <w:rsid w:val="005358DA"/>
    <w:rsid w:val="00536185"/>
    <w:rsid w:val="005425B7"/>
    <w:rsid w:val="0055187F"/>
    <w:rsid w:val="00587CA7"/>
    <w:rsid w:val="005A7E28"/>
    <w:rsid w:val="005B0786"/>
    <w:rsid w:val="005B0D02"/>
    <w:rsid w:val="005C560D"/>
    <w:rsid w:val="005C6BBE"/>
    <w:rsid w:val="005E5FCE"/>
    <w:rsid w:val="005E6985"/>
    <w:rsid w:val="00606FC2"/>
    <w:rsid w:val="00611180"/>
    <w:rsid w:val="0061584D"/>
    <w:rsid w:val="00620A11"/>
    <w:rsid w:val="0064318F"/>
    <w:rsid w:val="006837BE"/>
    <w:rsid w:val="00684EA5"/>
    <w:rsid w:val="00692BA8"/>
    <w:rsid w:val="00695C6C"/>
    <w:rsid w:val="006A05B2"/>
    <w:rsid w:val="006A5615"/>
    <w:rsid w:val="006D267C"/>
    <w:rsid w:val="006D3A70"/>
    <w:rsid w:val="006E5FE9"/>
    <w:rsid w:val="0070197B"/>
    <w:rsid w:val="0070270D"/>
    <w:rsid w:val="00714A82"/>
    <w:rsid w:val="00720E65"/>
    <w:rsid w:val="007214FA"/>
    <w:rsid w:val="007240F2"/>
    <w:rsid w:val="00742C09"/>
    <w:rsid w:val="00782B6C"/>
    <w:rsid w:val="00786AC7"/>
    <w:rsid w:val="00794199"/>
    <w:rsid w:val="007A4249"/>
    <w:rsid w:val="007B348D"/>
    <w:rsid w:val="007C21FF"/>
    <w:rsid w:val="007F54C9"/>
    <w:rsid w:val="00802215"/>
    <w:rsid w:val="00816E3F"/>
    <w:rsid w:val="008243C4"/>
    <w:rsid w:val="008268DF"/>
    <w:rsid w:val="00830548"/>
    <w:rsid w:val="00831876"/>
    <w:rsid w:val="008324D2"/>
    <w:rsid w:val="00840CD4"/>
    <w:rsid w:val="0087500B"/>
    <w:rsid w:val="008F78B6"/>
    <w:rsid w:val="00904505"/>
    <w:rsid w:val="009077F5"/>
    <w:rsid w:val="009609F0"/>
    <w:rsid w:val="00964B6B"/>
    <w:rsid w:val="00971EEE"/>
    <w:rsid w:val="00984AB1"/>
    <w:rsid w:val="009A604A"/>
    <w:rsid w:val="009B0A6E"/>
    <w:rsid w:val="009D0376"/>
    <w:rsid w:val="009D7B3A"/>
    <w:rsid w:val="009F347C"/>
    <w:rsid w:val="00A10D64"/>
    <w:rsid w:val="00A35941"/>
    <w:rsid w:val="00A46B1A"/>
    <w:rsid w:val="00A517BE"/>
    <w:rsid w:val="00A623AC"/>
    <w:rsid w:val="00A717CD"/>
    <w:rsid w:val="00AA6CC7"/>
    <w:rsid w:val="00AB0B34"/>
    <w:rsid w:val="00AD5E96"/>
    <w:rsid w:val="00AF633E"/>
    <w:rsid w:val="00B058EB"/>
    <w:rsid w:val="00B242F5"/>
    <w:rsid w:val="00B376EF"/>
    <w:rsid w:val="00B47BB7"/>
    <w:rsid w:val="00B5070E"/>
    <w:rsid w:val="00B54E68"/>
    <w:rsid w:val="00B74EB8"/>
    <w:rsid w:val="00BB3F84"/>
    <w:rsid w:val="00BD6951"/>
    <w:rsid w:val="00BD6D7B"/>
    <w:rsid w:val="00BE4CC8"/>
    <w:rsid w:val="00C019EE"/>
    <w:rsid w:val="00C03583"/>
    <w:rsid w:val="00C040B5"/>
    <w:rsid w:val="00C16C05"/>
    <w:rsid w:val="00C57DC6"/>
    <w:rsid w:val="00C64AC4"/>
    <w:rsid w:val="00C71106"/>
    <w:rsid w:val="00C860E5"/>
    <w:rsid w:val="00C87334"/>
    <w:rsid w:val="00CB0BA2"/>
    <w:rsid w:val="00CC5BA9"/>
    <w:rsid w:val="00CD0474"/>
    <w:rsid w:val="00CD712B"/>
    <w:rsid w:val="00CE2654"/>
    <w:rsid w:val="00CF7339"/>
    <w:rsid w:val="00D04A28"/>
    <w:rsid w:val="00D06A17"/>
    <w:rsid w:val="00D1143F"/>
    <w:rsid w:val="00D21A37"/>
    <w:rsid w:val="00D52854"/>
    <w:rsid w:val="00D73DE5"/>
    <w:rsid w:val="00D76AAF"/>
    <w:rsid w:val="00D76C7B"/>
    <w:rsid w:val="00D772D9"/>
    <w:rsid w:val="00DA1085"/>
    <w:rsid w:val="00DF56A2"/>
    <w:rsid w:val="00DF77B3"/>
    <w:rsid w:val="00E006C6"/>
    <w:rsid w:val="00E05AD4"/>
    <w:rsid w:val="00E24449"/>
    <w:rsid w:val="00E3483C"/>
    <w:rsid w:val="00E37220"/>
    <w:rsid w:val="00E46F16"/>
    <w:rsid w:val="00E50133"/>
    <w:rsid w:val="00E738AD"/>
    <w:rsid w:val="00EB2436"/>
    <w:rsid w:val="00EB406A"/>
    <w:rsid w:val="00ED5D73"/>
    <w:rsid w:val="00F040D4"/>
    <w:rsid w:val="00F1301B"/>
    <w:rsid w:val="00F20700"/>
    <w:rsid w:val="00F5785E"/>
    <w:rsid w:val="00F60937"/>
    <w:rsid w:val="00FB2B96"/>
    <w:rsid w:val="00FC4939"/>
    <w:rsid w:val="00FD399F"/>
    <w:rsid w:val="00FD5A6C"/>
    <w:rsid w:val="00FE1DF4"/>
    <w:rsid w:val="00FE39F3"/>
    <w:rsid w:val="00FF2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AA4D"/>
  <w15:chartTrackingRefBased/>
  <w15:docId w15:val="{FAF50E88-5C44-4D9D-96FB-966D3E81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30"/>
    <w:rPr>
      <w:rFonts w:eastAsiaTheme="majorEastAsia" w:cstheme="majorBidi"/>
      <w:color w:val="272727" w:themeColor="text1" w:themeTint="D8"/>
    </w:rPr>
  </w:style>
  <w:style w:type="paragraph" w:styleId="Title">
    <w:name w:val="Title"/>
    <w:basedOn w:val="Normal"/>
    <w:next w:val="Normal"/>
    <w:link w:val="TitleChar"/>
    <w:uiPriority w:val="10"/>
    <w:qFormat/>
    <w:rsid w:val="004F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30"/>
    <w:pPr>
      <w:spacing w:before="160"/>
      <w:jc w:val="center"/>
    </w:pPr>
    <w:rPr>
      <w:i/>
      <w:iCs/>
      <w:color w:val="404040" w:themeColor="text1" w:themeTint="BF"/>
    </w:rPr>
  </w:style>
  <w:style w:type="character" w:customStyle="1" w:styleId="QuoteChar">
    <w:name w:val="Quote Char"/>
    <w:basedOn w:val="DefaultParagraphFont"/>
    <w:link w:val="Quote"/>
    <w:uiPriority w:val="29"/>
    <w:rsid w:val="004F6E30"/>
    <w:rPr>
      <w:i/>
      <w:iCs/>
      <w:color w:val="404040" w:themeColor="text1" w:themeTint="BF"/>
    </w:rPr>
  </w:style>
  <w:style w:type="paragraph" w:styleId="ListParagraph">
    <w:name w:val="List Paragraph"/>
    <w:basedOn w:val="Normal"/>
    <w:uiPriority w:val="34"/>
    <w:qFormat/>
    <w:rsid w:val="004F6E30"/>
    <w:pPr>
      <w:ind w:left="720"/>
      <w:contextualSpacing/>
    </w:pPr>
  </w:style>
  <w:style w:type="character" w:styleId="IntenseEmphasis">
    <w:name w:val="Intense Emphasis"/>
    <w:basedOn w:val="DefaultParagraphFont"/>
    <w:uiPriority w:val="21"/>
    <w:qFormat/>
    <w:rsid w:val="004F6E30"/>
    <w:rPr>
      <w:i/>
      <w:iCs/>
      <w:color w:val="0F4761" w:themeColor="accent1" w:themeShade="BF"/>
    </w:rPr>
  </w:style>
  <w:style w:type="paragraph" w:styleId="IntenseQuote">
    <w:name w:val="Intense Quote"/>
    <w:basedOn w:val="Normal"/>
    <w:next w:val="Normal"/>
    <w:link w:val="IntenseQuoteChar"/>
    <w:uiPriority w:val="30"/>
    <w:qFormat/>
    <w:rsid w:val="004F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30"/>
    <w:rPr>
      <w:i/>
      <w:iCs/>
      <w:color w:val="0F4761" w:themeColor="accent1" w:themeShade="BF"/>
    </w:rPr>
  </w:style>
  <w:style w:type="character" w:styleId="IntenseReference">
    <w:name w:val="Intense Reference"/>
    <w:basedOn w:val="DefaultParagraphFont"/>
    <w:uiPriority w:val="32"/>
    <w:qFormat/>
    <w:rsid w:val="004F6E30"/>
    <w:rPr>
      <w:b/>
      <w:bCs/>
      <w:smallCaps/>
      <w:color w:val="0F4761" w:themeColor="accent1" w:themeShade="BF"/>
      <w:spacing w:val="5"/>
    </w:rPr>
  </w:style>
  <w:style w:type="table" w:styleId="TableGrid">
    <w:name w:val="Table Grid"/>
    <w:basedOn w:val="TableNormal"/>
    <w:uiPriority w:val="39"/>
    <w:rsid w:val="009D0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DF77B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AB0B34"/>
    <w:rPr>
      <w:color w:val="467886" w:themeColor="hyperlink"/>
      <w:u w:val="single"/>
    </w:rPr>
  </w:style>
  <w:style w:type="character" w:styleId="UnresolvedMention">
    <w:name w:val="Unresolved Mention"/>
    <w:basedOn w:val="DefaultParagraphFont"/>
    <w:uiPriority w:val="99"/>
    <w:semiHidden/>
    <w:unhideWhenUsed/>
    <w:rsid w:val="00AB0B34"/>
    <w:rPr>
      <w:color w:val="605E5C"/>
      <w:shd w:val="clear" w:color="auto" w:fill="E1DFDD"/>
    </w:rPr>
  </w:style>
  <w:style w:type="table" w:styleId="GridTable4-Accent3">
    <w:name w:val="Grid Table 4 Accent 3"/>
    <w:basedOn w:val="TableNormal"/>
    <w:uiPriority w:val="49"/>
    <w:rsid w:val="00C7110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FollowedHyperlink">
    <w:name w:val="FollowedHyperlink"/>
    <w:basedOn w:val="DefaultParagraphFont"/>
    <w:uiPriority w:val="99"/>
    <w:semiHidden/>
    <w:unhideWhenUsed/>
    <w:rsid w:val="007F54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691">
      <w:bodyDiv w:val="1"/>
      <w:marLeft w:val="0"/>
      <w:marRight w:val="0"/>
      <w:marTop w:val="0"/>
      <w:marBottom w:val="0"/>
      <w:divBdr>
        <w:top w:val="none" w:sz="0" w:space="0" w:color="auto"/>
        <w:left w:val="none" w:sz="0" w:space="0" w:color="auto"/>
        <w:bottom w:val="none" w:sz="0" w:space="0" w:color="auto"/>
        <w:right w:val="none" w:sz="0" w:space="0" w:color="auto"/>
      </w:divBdr>
      <w:divsChild>
        <w:div w:id="1230075359">
          <w:marLeft w:val="0"/>
          <w:marRight w:val="0"/>
          <w:marTop w:val="0"/>
          <w:marBottom w:val="240"/>
          <w:divBdr>
            <w:top w:val="none" w:sz="0" w:space="0" w:color="auto"/>
            <w:left w:val="none" w:sz="0" w:space="0" w:color="auto"/>
            <w:bottom w:val="none" w:sz="0" w:space="0" w:color="auto"/>
            <w:right w:val="none" w:sz="0" w:space="0" w:color="auto"/>
          </w:divBdr>
        </w:div>
        <w:div w:id="2045253444">
          <w:marLeft w:val="0"/>
          <w:marRight w:val="0"/>
          <w:marTop w:val="0"/>
          <w:marBottom w:val="240"/>
          <w:divBdr>
            <w:top w:val="none" w:sz="0" w:space="0" w:color="auto"/>
            <w:left w:val="none" w:sz="0" w:space="0" w:color="auto"/>
            <w:bottom w:val="none" w:sz="0" w:space="0" w:color="auto"/>
            <w:right w:val="none" w:sz="0" w:space="0" w:color="auto"/>
          </w:divBdr>
        </w:div>
        <w:div w:id="696078581">
          <w:marLeft w:val="0"/>
          <w:marRight w:val="0"/>
          <w:marTop w:val="0"/>
          <w:marBottom w:val="240"/>
          <w:divBdr>
            <w:top w:val="none" w:sz="0" w:space="0" w:color="auto"/>
            <w:left w:val="none" w:sz="0" w:space="0" w:color="auto"/>
            <w:bottom w:val="none" w:sz="0" w:space="0" w:color="auto"/>
            <w:right w:val="none" w:sz="0" w:space="0" w:color="auto"/>
          </w:divBdr>
        </w:div>
        <w:div w:id="1612207097">
          <w:marLeft w:val="0"/>
          <w:marRight w:val="0"/>
          <w:marTop w:val="0"/>
          <w:marBottom w:val="240"/>
          <w:divBdr>
            <w:top w:val="none" w:sz="0" w:space="0" w:color="auto"/>
            <w:left w:val="none" w:sz="0" w:space="0" w:color="auto"/>
            <w:bottom w:val="none" w:sz="0" w:space="0" w:color="auto"/>
            <w:right w:val="none" w:sz="0" w:space="0" w:color="auto"/>
          </w:divBdr>
        </w:div>
        <w:div w:id="583337477">
          <w:marLeft w:val="0"/>
          <w:marRight w:val="0"/>
          <w:marTop w:val="0"/>
          <w:marBottom w:val="240"/>
          <w:divBdr>
            <w:top w:val="none" w:sz="0" w:space="0" w:color="auto"/>
            <w:left w:val="none" w:sz="0" w:space="0" w:color="auto"/>
            <w:bottom w:val="none" w:sz="0" w:space="0" w:color="auto"/>
            <w:right w:val="none" w:sz="0" w:space="0" w:color="auto"/>
          </w:divBdr>
        </w:div>
      </w:divsChild>
    </w:div>
    <w:div w:id="188838047">
      <w:bodyDiv w:val="1"/>
      <w:marLeft w:val="0"/>
      <w:marRight w:val="0"/>
      <w:marTop w:val="0"/>
      <w:marBottom w:val="0"/>
      <w:divBdr>
        <w:top w:val="none" w:sz="0" w:space="0" w:color="auto"/>
        <w:left w:val="none" w:sz="0" w:space="0" w:color="auto"/>
        <w:bottom w:val="none" w:sz="0" w:space="0" w:color="auto"/>
        <w:right w:val="none" w:sz="0" w:space="0" w:color="auto"/>
      </w:divBdr>
    </w:div>
    <w:div w:id="479276573">
      <w:bodyDiv w:val="1"/>
      <w:marLeft w:val="0"/>
      <w:marRight w:val="0"/>
      <w:marTop w:val="0"/>
      <w:marBottom w:val="0"/>
      <w:divBdr>
        <w:top w:val="none" w:sz="0" w:space="0" w:color="auto"/>
        <w:left w:val="none" w:sz="0" w:space="0" w:color="auto"/>
        <w:bottom w:val="none" w:sz="0" w:space="0" w:color="auto"/>
        <w:right w:val="none" w:sz="0" w:space="0" w:color="auto"/>
      </w:divBdr>
    </w:div>
    <w:div w:id="517741633">
      <w:bodyDiv w:val="1"/>
      <w:marLeft w:val="0"/>
      <w:marRight w:val="0"/>
      <w:marTop w:val="0"/>
      <w:marBottom w:val="0"/>
      <w:divBdr>
        <w:top w:val="none" w:sz="0" w:space="0" w:color="auto"/>
        <w:left w:val="none" w:sz="0" w:space="0" w:color="auto"/>
        <w:bottom w:val="none" w:sz="0" w:space="0" w:color="auto"/>
        <w:right w:val="none" w:sz="0" w:space="0" w:color="auto"/>
      </w:divBdr>
    </w:div>
    <w:div w:id="755597186">
      <w:bodyDiv w:val="1"/>
      <w:marLeft w:val="0"/>
      <w:marRight w:val="0"/>
      <w:marTop w:val="0"/>
      <w:marBottom w:val="0"/>
      <w:divBdr>
        <w:top w:val="none" w:sz="0" w:space="0" w:color="auto"/>
        <w:left w:val="none" w:sz="0" w:space="0" w:color="auto"/>
        <w:bottom w:val="none" w:sz="0" w:space="0" w:color="auto"/>
        <w:right w:val="none" w:sz="0" w:space="0" w:color="auto"/>
      </w:divBdr>
    </w:div>
    <w:div w:id="758211548">
      <w:bodyDiv w:val="1"/>
      <w:marLeft w:val="0"/>
      <w:marRight w:val="0"/>
      <w:marTop w:val="0"/>
      <w:marBottom w:val="0"/>
      <w:divBdr>
        <w:top w:val="none" w:sz="0" w:space="0" w:color="auto"/>
        <w:left w:val="none" w:sz="0" w:space="0" w:color="auto"/>
        <w:bottom w:val="none" w:sz="0" w:space="0" w:color="auto"/>
        <w:right w:val="none" w:sz="0" w:space="0" w:color="auto"/>
      </w:divBdr>
    </w:div>
    <w:div w:id="1009138088">
      <w:bodyDiv w:val="1"/>
      <w:marLeft w:val="0"/>
      <w:marRight w:val="0"/>
      <w:marTop w:val="0"/>
      <w:marBottom w:val="0"/>
      <w:divBdr>
        <w:top w:val="none" w:sz="0" w:space="0" w:color="auto"/>
        <w:left w:val="none" w:sz="0" w:space="0" w:color="auto"/>
        <w:bottom w:val="none" w:sz="0" w:space="0" w:color="auto"/>
        <w:right w:val="none" w:sz="0" w:space="0" w:color="auto"/>
      </w:divBdr>
    </w:div>
    <w:div w:id="1227496745">
      <w:bodyDiv w:val="1"/>
      <w:marLeft w:val="0"/>
      <w:marRight w:val="0"/>
      <w:marTop w:val="0"/>
      <w:marBottom w:val="0"/>
      <w:divBdr>
        <w:top w:val="none" w:sz="0" w:space="0" w:color="auto"/>
        <w:left w:val="none" w:sz="0" w:space="0" w:color="auto"/>
        <w:bottom w:val="none" w:sz="0" w:space="0" w:color="auto"/>
        <w:right w:val="none" w:sz="0" w:space="0" w:color="auto"/>
      </w:divBdr>
    </w:div>
    <w:div w:id="1253197098">
      <w:bodyDiv w:val="1"/>
      <w:marLeft w:val="0"/>
      <w:marRight w:val="0"/>
      <w:marTop w:val="0"/>
      <w:marBottom w:val="0"/>
      <w:divBdr>
        <w:top w:val="none" w:sz="0" w:space="0" w:color="auto"/>
        <w:left w:val="none" w:sz="0" w:space="0" w:color="auto"/>
        <w:bottom w:val="none" w:sz="0" w:space="0" w:color="auto"/>
        <w:right w:val="none" w:sz="0" w:space="0" w:color="auto"/>
      </w:divBdr>
    </w:div>
    <w:div w:id="1277324524">
      <w:bodyDiv w:val="1"/>
      <w:marLeft w:val="0"/>
      <w:marRight w:val="0"/>
      <w:marTop w:val="0"/>
      <w:marBottom w:val="0"/>
      <w:divBdr>
        <w:top w:val="none" w:sz="0" w:space="0" w:color="auto"/>
        <w:left w:val="none" w:sz="0" w:space="0" w:color="auto"/>
        <w:bottom w:val="none" w:sz="0" w:space="0" w:color="auto"/>
        <w:right w:val="none" w:sz="0" w:space="0" w:color="auto"/>
      </w:divBdr>
    </w:div>
    <w:div w:id="1700548575">
      <w:bodyDiv w:val="1"/>
      <w:marLeft w:val="0"/>
      <w:marRight w:val="0"/>
      <w:marTop w:val="0"/>
      <w:marBottom w:val="0"/>
      <w:divBdr>
        <w:top w:val="none" w:sz="0" w:space="0" w:color="auto"/>
        <w:left w:val="none" w:sz="0" w:space="0" w:color="auto"/>
        <w:bottom w:val="none" w:sz="0" w:space="0" w:color="auto"/>
        <w:right w:val="none" w:sz="0" w:space="0" w:color="auto"/>
      </w:divBdr>
    </w:div>
    <w:div w:id="1792896165">
      <w:bodyDiv w:val="1"/>
      <w:marLeft w:val="0"/>
      <w:marRight w:val="0"/>
      <w:marTop w:val="0"/>
      <w:marBottom w:val="0"/>
      <w:divBdr>
        <w:top w:val="none" w:sz="0" w:space="0" w:color="auto"/>
        <w:left w:val="none" w:sz="0" w:space="0" w:color="auto"/>
        <w:bottom w:val="none" w:sz="0" w:space="0" w:color="auto"/>
        <w:right w:val="none" w:sz="0" w:space="0" w:color="auto"/>
      </w:divBdr>
      <w:divsChild>
        <w:div w:id="1623531696">
          <w:marLeft w:val="0"/>
          <w:marRight w:val="0"/>
          <w:marTop w:val="0"/>
          <w:marBottom w:val="240"/>
          <w:divBdr>
            <w:top w:val="none" w:sz="0" w:space="0" w:color="auto"/>
            <w:left w:val="none" w:sz="0" w:space="0" w:color="auto"/>
            <w:bottom w:val="none" w:sz="0" w:space="0" w:color="auto"/>
            <w:right w:val="none" w:sz="0" w:space="0" w:color="auto"/>
          </w:divBdr>
        </w:div>
        <w:div w:id="987130829">
          <w:marLeft w:val="0"/>
          <w:marRight w:val="0"/>
          <w:marTop w:val="0"/>
          <w:marBottom w:val="240"/>
          <w:divBdr>
            <w:top w:val="none" w:sz="0" w:space="0" w:color="auto"/>
            <w:left w:val="none" w:sz="0" w:space="0" w:color="auto"/>
            <w:bottom w:val="none" w:sz="0" w:space="0" w:color="auto"/>
            <w:right w:val="none" w:sz="0" w:space="0" w:color="auto"/>
          </w:divBdr>
        </w:div>
        <w:div w:id="948437379">
          <w:marLeft w:val="0"/>
          <w:marRight w:val="0"/>
          <w:marTop w:val="0"/>
          <w:marBottom w:val="240"/>
          <w:divBdr>
            <w:top w:val="none" w:sz="0" w:space="0" w:color="auto"/>
            <w:left w:val="none" w:sz="0" w:space="0" w:color="auto"/>
            <w:bottom w:val="none" w:sz="0" w:space="0" w:color="auto"/>
            <w:right w:val="none" w:sz="0" w:space="0" w:color="auto"/>
          </w:divBdr>
        </w:div>
        <w:div w:id="31196462">
          <w:marLeft w:val="0"/>
          <w:marRight w:val="0"/>
          <w:marTop w:val="0"/>
          <w:marBottom w:val="240"/>
          <w:divBdr>
            <w:top w:val="none" w:sz="0" w:space="0" w:color="auto"/>
            <w:left w:val="none" w:sz="0" w:space="0" w:color="auto"/>
            <w:bottom w:val="none" w:sz="0" w:space="0" w:color="auto"/>
            <w:right w:val="none" w:sz="0" w:space="0" w:color="auto"/>
          </w:divBdr>
        </w:div>
        <w:div w:id="1125348596">
          <w:marLeft w:val="0"/>
          <w:marRight w:val="0"/>
          <w:marTop w:val="0"/>
          <w:marBottom w:val="240"/>
          <w:divBdr>
            <w:top w:val="none" w:sz="0" w:space="0" w:color="auto"/>
            <w:left w:val="none" w:sz="0" w:space="0" w:color="auto"/>
            <w:bottom w:val="none" w:sz="0" w:space="0" w:color="auto"/>
            <w:right w:val="none" w:sz="0" w:space="0" w:color="auto"/>
          </w:divBdr>
        </w:div>
      </w:divsChild>
    </w:div>
    <w:div w:id="1823816932">
      <w:bodyDiv w:val="1"/>
      <w:marLeft w:val="0"/>
      <w:marRight w:val="0"/>
      <w:marTop w:val="0"/>
      <w:marBottom w:val="0"/>
      <w:divBdr>
        <w:top w:val="none" w:sz="0" w:space="0" w:color="auto"/>
        <w:left w:val="none" w:sz="0" w:space="0" w:color="auto"/>
        <w:bottom w:val="none" w:sz="0" w:space="0" w:color="auto"/>
        <w:right w:val="none" w:sz="0" w:space="0" w:color="auto"/>
      </w:divBdr>
    </w:div>
    <w:div w:id="1886718374">
      <w:bodyDiv w:val="1"/>
      <w:marLeft w:val="0"/>
      <w:marRight w:val="0"/>
      <w:marTop w:val="0"/>
      <w:marBottom w:val="0"/>
      <w:divBdr>
        <w:top w:val="none" w:sz="0" w:space="0" w:color="auto"/>
        <w:left w:val="none" w:sz="0" w:space="0" w:color="auto"/>
        <w:bottom w:val="none" w:sz="0" w:space="0" w:color="auto"/>
        <w:right w:val="none" w:sz="0" w:space="0" w:color="auto"/>
      </w:divBdr>
    </w:div>
    <w:div w:id="2035304008">
      <w:bodyDiv w:val="1"/>
      <w:marLeft w:val="0"/>
      <w:marRight w:val="0"/>
      <w:marTop w:val="0"/>
      <w:marBottom w:val="0"/>
      <w:divBdr>
        <w:top w:val="none" w:sz="0" w:space="0" w:color="auto"/>
        <w:left w:val="none" w:sz="0" w:space="0" w:color="auto"/>
        <w:bottom w:val="none" w:sz="0" w:space="0" w:color="auto"/>
        <w:right w:val="none" w:sz="0" w:space="0" w:color="auto"/>
      </w:divBdr>
    </w:div>
    <w:div w:id="212738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dprsummary.com/gdpr-summary/" TargetMode="External"/><Relationship Id="rId3" Type="http://schemas.openxmlformats.org/officeDocument/2006/relationships/settings" Target="settings.xml"/><Relationship Id="rId7" Type="http://schemas.openxmlformats.org/officeDocument/2006/relationships/hyperlink" Target="http://www.experian.com/blogs/ask-experian/credit-education/report-basics/fair-credit-reporting-act-fcr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pic.org/ecpa/" TargetMode="External"/><Relationship Id="rId11" Type="http://schemas.openxmlformats.org/officeDocument/2006/relationships/fontTable" Target="fontTable.xml"/><Relationship Id="rId5" Type="http://schemas.openxmlformats.org/officeDocument/2006/relationships/hyperlink" Target="http://www.epic.org/issues/data-protection/childrens-privacy/" TargetMode="External"/><Relationship Id="rId10" Type="http://schemas.openxmlformats.org/officeDocument/2006/relationships/hyperlink" Target="https://registrar.lmu.edu/ferpa-rightsandprivacyact/" TargetMode="External"/><Relationship Id="rId4" Type="http://schemas.openxmlformats.org/officeDocument/2006/relationships/webSettings" Target="webSettings.xml"/><Relationship Id="rId9" Type="http://schemas.openxmlformats.org/officeDocument/2006/relationships/hyperlink" Target="http://www.jonesday.com/-/media/files/publications/2019/01/california-consumer-privacy-act-guidev2-july-202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1314</TotalTime>
  <Pages>4</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7</cp:revision>
  <dcterms:created xsi:type="dcterms:W3CDTF">2025-03-06T22:35:00Z</dcterms:created>
  <dcterms:modified xsi:type="dcterms:W3CDTF">2025-03-19T20:03:00Z</dcterms:modified>
</cp:coreProperties>
</file>