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555C7" w14:textId="7044F3A4" w:rsidR="00A517BE" w:rsidRPr="00B74EB8" w:rsidRDefault="00A517BE" w:rsidP="00A517BE">
      <w:pPr>
        <w:spacing w:after="0" w:line="480" w:lineRule="auto"/>
        <w:rPr>
          <w:rFonts w:ascii="Times New Roman" w:hAnsi="Times New Roman" w:cs="Times New Roman"/>
        </w:rPr>
      </w:pPr>
      <w:r w:rsidRPr="00B74EB8">
        <w:rPr>
          <w:rFonts w:ascii="Times New Roman" w:hAnsi="Times New Roman" w:cs="Times New Roman"/>
        </w:rPr>
        <w:t>Juan Pablo de Legarreta</w:t>
      </w:r>
    </w:p>
    <w:p w14:paraId="4EC0E5B1" w14:textId="26ED9D1C" w:rsidR="00A517BE" w:rsidRPr="00B74EB8" w:rsidRDefault="00A517BE" w:rsidP="00A517BE">
      <w:pPr>
        <w:spacing w:after="0" w:line="480" w:lineRule="auto"/>
        <w:rPr>
          <w:rFonts w:ascii="Times New Roman" w:hAnsi="Times New Roman" w:cs="Times New Roman"/>
        </w:rPr>
      </w:pPr>
      <w:r w:rsidRPr="00B74EB8">
        <w:rPr>
          <w:rFonts w:ascii="Times New Roman" w:hAnsi="Times New Roman" w:cs="Times New Roman"/>
        </w:rPr>
        <w:t>NETC 1</w:t>
      </w:r>
      <w:r w:rsidR="00B74EB8" w:rsidRPr="00B74EB8">
        <w:rPr>
          <w:rFonts w:ascii="Times New Roman" w:hAnsi="Times New Roman" w:cs="Times New Roman"/>
        </w:rPr>
        <w:t>7</w:t>
      </w:r>
      <w:r w:rsidRPr="00B74EB8">
        <w:rPr>
          <w:rFonts w:ascii="Times New Roman" w:hAnsi="Times New Roman" w:cs="Times New Roman"/>
        </w:rPr>
        <w:t xml:space="preserve">0 – </w:t>
      </w:r>
      <w:r w:rsidR="00B74EB8" w:rsidRPr="00B74EB8">
        <w:rPr>
          <w:rFonts w:ascii="Times New Roman" w:hAnsi="Times New Roman" w:cs="Times New Roman"/>
        </w:rPr>
        <w:t>IT Governance &amp; Management</w:t>
      </w:r>
    </w:p>
    <w:p w14:paraId="0A06DFAA" w14:textId="71FD2085" w:rsidR="00620A11" w:rsidRPr="00B74EB8" w:rsidRDefault="00A517BE" w:rsidP="00620A11">
      <w:pPr>
        <w:spacing w:after="0" w:line="480" w:lineRule="auto"/>
        <w:rPr>
          <w:rFonts w:ascii="Times New Roman" w:hAnsi="Times New Roman" w:cs="Times New Roman"/>
        </w:rPr>
      </w:pPr>
      <w:r w:rsidRPr="00B74EB8">
        <w:rPr>
          <w:rFonts w:ascii="Times New Roman" w:hAnsi="Times New Roman" w:cs="Times New Roman"/>
        </w:rPr>
        <w:t xml:space="preserve">Module </w:t>
      </w:r>
      <w:r w:rsidR="005919DF">
        <w:rPr>
          <w:rFonts w:ascii="Times New Roman" w:hAnsi="Times New Roman" w:cs="Times New Roman"/>
        </w:rPr>
        <w:t>Seven</w:t>
      </w:r>
      <w:r w:rsidRPr="00B74EB8">
        <w:rPr>
          <w:rFonts w:ascii="Times New Roman" w:hAnsi="Times New Roman" w:cs="Times New Roman"/>
        </w:rPr>
        <w:t xml:space="preserve"> Assignment</w:t>
      </w:r>
    </w:p>
    <w:p w14:paraId="02E64A0D" w14:textId="4E06E2A5" w:rsidR="00A35941" w:rsidRPr="00B74EB8" w:rsidRDefault="005919DF" w:rsidP="005E6985">
      <w:pPr>
        <w:spacing w:after="0" w:line="480" w:lineRule="auto"/>
        <w:jc w:val="center"/>
        <w:rPr>
          <w:rFonts w:ascii="Times New Roman" w:hAnsi="Times New Roman" w:cs="Times New Roman"/>
          <w:b/>
          <w:bCs/>
          <w:u w:val="single"/>
        </w:rPr>
      </w:pPr>
      <w:r>
        <w:rPr>
          <w:rFonts w:ascii="Times New Roman" w:hAnsi="Times New Roman" w:cs="Times New Roman"/>
          <w:b/>
          <w:bCs/>
          <w:u w:val="single"/>
        </w:rPr>
        <w:t>Security Controls</w:t>
      </w:r>
    </w:p>
    <w:p w14:paraId="63EC3868" w14:textId="73C63583" w:rsidR="004A7605" w:rsidRDefault="005919DF" w:rsidP="004A7605">
      <w:pPr>
        <w:spacing w:after="0" w:line="480" w:lineRule="auto"/>
        <w:ind w:firstLine="720"/>
        <w:rPr>
          <w:rFonts w:ascii="Times New Roman" w:hAnsi="Times New Roman" w:cs="Times New Roman"/>
        </w:rPr>
      </w:pPr>
      <w:proofErr w:type="gramStart"/>
      <w:r>
        <w:rPr>
          <w:rFonts w:ascii="Times New Roman" w:hAnsi="Times New Roman" w:cs="Times New Roman"/>
        </w:rPr>
        <w:t>The CIS</w:t>
      </w:r>
      <w:proofErr w:type="gramEnd"/>
      <w:r>
        <w:rPr>
          <w:rFonts w:ascii="Times New Roman" w:hAnsi="Times New Roman" w:cs="Times New Roman"/>
        </w:rPr>
        <w:t xml:space="preserve"> Security Controls can complement any governance and security framework to provide more prescriptive actions any organization can take to improve their security posture</w:t>
      </w:r>
      <w:r w:rsidR="00786AC7">
        <w:rPr>
          <w:rFonts w:ascii="Times New Roman" w:hAnsi="Times New Roman" w:cs="Times New Roman"/>
        </w:rPr>
        <w:t xml:space="preserve">. </w:t>
      </w:r>
      <w:r w:rsidR="00F1301B">
        <w:rPr>
          <w:rFonts w:ascii="Times New Roman" w:hAnsi="Times New Roman" w:cs="Times New Roman"/>
        </w:rPr>
        <w:t xml:space="preserve">These </w:t>
      </w:r>
      <w:r>
        <w:rPr>
          <w:rFonts w:ascii="Times New Roman" w:hAnsi="Times New Roman" w:cs="Times New Roman"/>
        </w:rPr>
        <w:t>18 controls</w:t>
      </w:r>
      <w:r w:rsidR="00F1301B">
        <w:rPr>
          <w:rFonts w:ascii="Times New Roman" w:hAnsi="Times New Roman" w:cs="Times New Roman"/>
        </w:rPr>
        <w:t xml:space="preserve"> cover a wide array of protections</w:t>
      </w:r>
      <w:r>
        <w:rPr>
          <w:rFonts w:ascii="Times New Roman" w:hAnsi="Times New Roman" w:cs="Times New Roman"/>
        </w:rPr>
        <w:t xml:space="preserve"> and strategies</w:t>
      </w:r>
      <w:r w:rsidR="004A7605">
        <w:rPr>
          <w:rFonts w:ascii="Times New Roman" w:hAnsi="Times New Roman" w:cs="Times New Roman"/>
        </w:rPr>
        <w:t>.</w:t>
      </w:r>
      <w:r w:rsidR="00F1301B">
        <w:rPr>
          <w:rFonts w:ascii="Times New Roman" w:hAnsi="Times New Roman" w:cs="Times New Roman"/>
        </w:rPr>
        <w:t xml:space="preserve"> </w:t>
      </w:r>
      <w:r w:rsidR="00786AC7">
        <w:rPr>
          <w:rFonts w:ascii="Times New Roman" w:hAnsi="Times New Roman" w:cs="Times New Roman"/>
        </w:rPr>
        <w:t xml:space="preserve">The table below </w:t>
      </w:r>
      <w:r w:rsidR="00006347">
        <w:rPr>
          <w:rFonts w:ascii="Times New Roman" w:hAnsi="Times New Roman" w:cs="Times New Roman"/>
        </w:rPr>
        <w:t>shares</w:t>
      </w:r>
      <w:r w:rsidR="00786AC7">
        <w:rPr>
          <w:rFonts w:ascii="Times New Roman" w:hAnsi="Times New Roman" w:cs="Times New Roman"/>
        </w:rPr>
        <w:t xml:space="preserve"> a description</w:t>
      </w:r>
      <w:r>
        <w:rPr>
          <w:rFonts w:ascii="Times New Roman" w:hAnsi="Times New Roman" w:cs="Times New Roman"/>
        </w:rPr>
        <w:t xml:space="preserve"> and safeguard type of a few of these critical controls:</w:t>
      </w:r>
    </w:p>
    <w:tbl>
      <w:tblPr>
        <w:tblStyle w:val="TableGrid"/>
        <w:tblW w:w="0" w:type="auto"/>
        <w:tblLook w:val="04A0" w:firstRow="1" w:lastRow="0" w:firstColumn="1" w:lastColumn="0" w:noHBand="0" w:noVBand="1"/>
      </w:tblPr>
      <w:tblGrid>
        <w:gridCol w:w="2337"/>
        <w:gridCol w:w="4228"/>
        <w:gridCol w:w="2520"/>
      </w:tblGrid>
      <w:tr w:rsidR="005919DF" w14:paraId="1250D161" w14:textId="77777777" w:rsidTr="00B039EF">
        <w:tc>
          <w:tcPr>
            <w:tcW w:w="2337" w:type="dxa"/>
            <w:shd w:val="clear" w:color="auto" w:fill="FFFFFF" w:themeFill="background1"/>
            <w:vAlign w:val="center"/>
          </w:tcPr>
          <w:p w14:paraId="2E64898A" w14:textId="77777777" w:rsidR="005919DF" w:rsidRPr="00B463A5" w:rsidRDefault="005919DF" w:rsidP="00B039EF">
            <w:pPr>
              <w:jc w:val="center"/>
              <w:rPr>
                <w:b/>
                <w:bCs/>
              </w:rPr>
            </w:pPr>
            <w:r>
              <w:rPr>
                <w:b/>
                <w:bCs/>
              </w:rPr>
              <w:t>CIS Critical Security Control</w:t>
            </w:r>
          </w:p>
        </w:tc>
        <w:tc>
          <w:tcPr>
            <w:tcW w:w="4228" w:type="dxa"/>
            <w:shd w:val="clear" w:color="auto" w:fill="D9D9D9" w:themeFill="background1" w:themeFillShade="D9"/>
            <w:vAlign w:val="center"/>
          </w:tcPr>
          <w:p w14:paraId="61FD4CF8" w14:textId="77777777" w:rsidR="005919DF" w:rsidRPr="00B463A5" w:rsidRDefault="005919DF" w:rsidP="00B039EF">
            <w:pPr>
              <w:jc w:val="center"/>
              <w:rPr>
                <w:b/>
                <w:bCs/>
              </w:rPr>
            </w:pPr>
            <w:r>
              <w:rPr>
                <w:b/>
                <w:bCs/>
              </w:rPr>
              <w:t>Description</w:t>
            </w:r>
          </w:p>
        </w:tc>
        <w:tc>
          <w:tcPr>
            <w:tcW w:w="2520" w:type="dxa"/>
            <w:shd w:val="clear" w:color="auto" w:fill="D9D9D9" w:themeFill="background1" w:themeFillShade="D9"/>
            <w:vAlign w:val="center"/>
          </w:tcPr>
          <w:p w14:paraId="4D7EBE21" w14:textId="77777777" w:rsidR="005919DF" w:rsidRPr="00B463A5" w:rsidRDefault="005919DF" w:rsidP="00B039EF">
            <w:pPr>
              <w:jc w:val="center"/>
              <w:rPr>
                <w:b/>
                <w:bCs/>
              </w:rPr>
            </w:pPr>
            <w:r>
              <w:rPr>
                <w:b/>
                <w:bCs/>
              </w:rPr>
              <w:t xml:space="preserve">Safeguard Type </w:t>
            </w:r>
            <w:r>
              <w:t>(Administrative, Physical or Technical)</w:t>
            </w:r>
          </w:p>
        </w:tc>
      </w:tr>
      <w:tr w:rsidR="005919DF" w14:paraId="7576DCB5" w14:textId="77777777" w:rsidTr="00B039EF">
        <w:tc>
          <w:tcPr>
            <w:tcW w:w="2337" w:type="dxa"/>
            <w:shd w:val="clear" w:color="auto" w:fill="F2F2F2" w:themeFill="background1" w:themeFillShade="F2"/>
            <w:vAlign w:val="center"/>
          </w:tcPr>
          <w:p w14:paraId="417D4477" w14:textId="77777777" w:rsidR="005919DF" w:rsidRPr="00B463A5" w:rsidRDefault="005919DF" w:rsidP="00B039EF">
            <w:pPr>
              <w:jc w:val="center"/>
              <w:rPr>
                <w:b/>
                <w:bCs/>
              </w:rPr>
            </w:pPr>
            <w:r>
              <w:rPr>
                <w:b/>
                <w:bCs/>
              </w:rPr>
              <w:t xml:space="preserve">#1 - </w:t>
            </w:r>
            <w:r w:rsidRPr="007958EB">
              <w:rPr>
                <w:b/>
                <w:bCs/>
              </w:rPr>
              <w:t>Inventory and Control of Enterprise Assets</w:t>
            </w:r>
            <w:r>
              <w:rPr>
                <w:b/>
                <w:bCs/>
              </w:rPr>
              <w:t xml:space="preserve"> </w:t>
            </w:r>
            <w:r w:rsidRPr="00B463A5">
              <w:t>(example)</w:t>
            </w:r>
          </w:p>
        </w:tc>
        <w:tc>
          <w:tcPr>
            <w:tcW w:w="4228" w:type="dxa"/>
            <w:vAlign w:val="center"/>
          </w:tcPr>
          <w:p w14:paraId="7DB854FB" w14:textId="77777777" w:rsidR="005919DF" w:rsidRDefault="005919DF" w:rsidP="00B039EF">
            <w:pPr>
              <w:jc w:val="center"/>
            </w:pPr>
            <w:r w:rsidRPr="007958EB">
              <w:t>Actively manage all enterprise assets connected to the infrastructure physically, virtually, remotely, and those within cloud environments, to accurately know the totality of assets that need to be monitored and protected within the enterprise</w:t>
            </w:r>
          </w:p>
        </w:tc>
        <w:tc>
          <w:tcPr>
            <w:tcW w:w="2520" w:type="dxa"/>
            <w:vAlign w:val="center"/>
          </w:tcPr>
          <w:p w14:paraId="23A11387" w14:textId="77777777" w:rsidR="005919DF" w:rsidRDefault="005919DF" w:rsidP="00B039EF">
            <w:pPr>
              <w:jc w:val="center"/>
            </w:pPr>
            <w:r w:rsidRPr="00F17E4C">
              <w:t>A</w:t>
            </w:r>
            <w:r>
              <w:t xml:space="preserve">dministrative </w:t>
            </w:r>
          </w:p>
        </w:tc>
      </w:tr>
      <w:tr w:rsidR="005919DF" w14:paraId="502AD548" w14:textId="77777777" w:rsidTr="00B039EF">
        <w:tc>
          <w:tcPr>
            <w:tcW w:w="2337" w:type="dxa"/>
            <w:shd w:val="clear" w:color="auto" w:fill="F2F2F2" w:themeFill="background1" w:themeFillShade="F2"/>
            <w:vAlign w:val="center"/>
          </w:tcPr>
          <w:p w14:paraId="6BFE1492" w14:textId="77777777" w:rsidR="005919DF" w:rsidRDefault="005919DF" w:rsidP="00B039EF">
            <w:pPr>
              <w:jc w:val="center"/>
              <w:rPr>
                <w:b/>
                <w:bCs/>
              </w:rPr>
            </w:pPr>
          </w:p>
          <w:p w14:paraId="0D6818F5" w14:textId="77777777" w:rsidR="005919DF" w:rsidRDefault="005919DF" w:rsidP="00B039EF">
            <w:pPr>
              <w:jc w:val="center"/>
              <w:rPr>
                <w:b/>
                <w:bCs/>
              </w:rPr>
            </w:pPr>
            <w:r>
              <w:rPr>
                <w:b/>
                <w:bCs/>
              </w:rPr>
              <w:t>#5 – Account Management</w:t>
            </w:r>
          </w:p>
          <w:p w14:paraId="6D92227A" w14:textId="77777777" w:rsidR="005919DF" w:rsidRPr="00B463A5" w:rsidRDefault="005919DF" w:rsidP="00B039EF">
            <w:pPr>
              <w:jc w:val="center"/>
              <w:rPr>
                <w:b/>
                <w:bCs/>
              </w:rPr>
            </w:pPr>
          </w:p>
        </w:tc>
        <w:tc>
          <w:tcPr>
            <w:tcW w:w="4228" w:type="dxa"/>
            <w:vAlign w:val="center"/>
          </w:tcPr>
          <w:p w14:paraId="545EBFBE" w14:textId="1864FDCD" w:rsidR="005919DF" w:rsidRDefault="00926ADA" w:rsidP="00926ADA">
            <w:pPr>
              <w:jc w:val="center"/>
            </w:pPr>
            <w:r w:rsidRPr="00C33DC0">
              <w:t>Use processes and tools to assign and manage authorization to credentials for user accounts, including administrator accounts, as well as service accounts, to enterprise assets and software</w:t>
            </w:r>
            <w:r>
              <w:t>.</w:t>
            </w:r>
          </w:p>
        </w:tc>
        <w:tc>
          <w:tcPr>
            <w:tcW w:w="2520" w:type="dxa"/>
            <w:vAlign w:val="center"/>
          </w:tcPr>
          <w:p w14:paraId="39E203A3" w14:textId="2EB25943" w:rsidR="00E92118" w:rsidRDefault="00E92118" w:rsidP="00E92118">
            <w:pPr>
              <w:jc w:val="center"/>
            </w:pPr>
            <w:r>
              <w:t>Administrative</w:t>
            </w:r>
            <w:r w:rsidR="005919DF">
              <w:t>/</w:t>
            </w:r>
          </w:p>
          <w:p w14:paraId="51EEC5E5" w14:textId="15C1763F" w:rsidR="005919DF" w:rsidRDefault="005919DF" w:rsidP="00B039EF">
            <w:pPr>
              <w:jc w:val="center"/>
            </w:pPr>
            <w:r>
              <w:t>Technical</w:t>
            </w:r>
          </w:p>
        </w:tc>
      </w:tr>
      <w:tr w:rsidR="005919DF" w14:paraId="2AAD6F3E" w14:textId="77777777" w:rsidTr="00B039EF">
        <w:tc>
          <w:tcPr>
            <w:tcW w:w="2337" w:type="dxa"/>
            <w:shd w:val="clear" w:color="auto" w:fill="F2F2F2" w:themeFill="background1" w:themeFillShade="F2"/>
            <w:vAlign w:val="center"/>
          </w:tcPr>
          <w:p w14:paraId="16450500" w14:textId="77777777" w:rsidR="005919DF" w:rsidRDefault="005919DF" w:rsidP="00B039EF">
            <w:pPr>
              <w:jc w:val="center"/>
              <w:rPr>
                <w:b/>
                <w:bCs/>
              </w:rPr>
            </w:pPr>
          </w:p>
          <w:p w14:paraId="70DD7C4E" w14:textId="77777777" w:rsidR="005919DF" w:rsidRDefault="005919DF" w:rsidP="00B039EF">
            <w:pPr>
              <w:jc w:val="center"/>
              <w:rPr>
                <w:b/>
                <w:bCs/>
              </w:rPr>
            </w:pPr>
            <w:r>
              <w:rPr>
                <w:b/>
                <w:bCs/>
              </w:rPr>
              <w:t>#6 – Access Control Management</w:t>
            </w:r>
          </w:p>
          <w:p w14:paraId="7BF6BC16" w14:textId="77777777" w:rsidR="005919DF" w:rsidRPr="00B463A5" w:rsidRDefault="005919DF" w:rsidP="00B039EF">
            <w:pPr>
              <w:jc w:val="center"/>
              <w:rPr>
                <w:b/>
                <w:bCs/>
              </w:rPr>
            </w:pPr>
          </w:p>
        </w:tc>
        <w:tc>
          <w:tcPr>
            <w:tcW w:w="4228" w:type="dxa"/>
            <w:vAlign w:val="center"/>
          </w:tcPr>
          <w:p w14:paraId="439A8CA8" w14:textId="09AFB7F8" w:rsidR="005919DF" w:rsidRDefault="00926ADA" w:rsidP="00B039EF">
            <w:pPr>
              <w:jc w:val="center"/>
            </w:pPr>
            <w:r w:rsidRPr="00C33DC0">
              <w:t xml:space="preserve">Use processes and tools to create, assign, manage, and revoke </w:t>
            </w:r>
            <w:proofErr w:type="gramStart"/>
            <w:r w:rsidRPr="00C33DC0">
              <w:t>access</w:t>
            </w:r>
            <w:proofErr w:type="gramEnd"/>
            <w:r w:rsidRPr="00C33DC0">
              <w:t xml:space="preserve"> credentials and privileges for user, administrator, and service accounts for enterprise assets and software.</w:t>
            </w:r>
          </w:p>
        </w:tc>
        <w:tc>
          <w:tcPr>
            <w:tcW w:w="2520" w:type="dxa"/>
            <w:vAlign w:val="center"/>
          </w:tcPr>
          <w:p w14:paraId="3D8822D7" w14:textId="040A2F33" w:rsidR="005919DF" w:rsidRDefault="005919DF" w:rsidP="00E92118">
            <w:pPr>
              <w:jc w:val="center"/>
            </w:pPr>
            <w:r>
              <w:t>Physical/Technical</w:t>
            </w:r>
          </w:p>
        </w:tc>
      </w:tr>
      <w:tr w:rsidR="005919DF" w14:paraId="52C239AC" w14:textId="77777777" w:rsidTr="00B039EF">
        <w:tc>
          <w:tcPr>
            <w:tcW w:w="2337" w:type="dxa"/>
            <w:shd w:val="clear" w:color="auto" w:fill="F2F2F2" w:themeFill="background1" w:themeFillShade="F2"/>
            <w:vAlign w:val="center"/>
          </w:tcPr>
          <w:p w14:paraId="5A916EE5" w14:textId="77777777" w:rsidR="005919DF" w:rsidRDefault="005919DF" w:rsidP="00B039EF">
            <w:pPr>
              <w:jc w:val="center"/>
              <w:rPr>
                <w:b/>
                <w:bCs/>
              </w:rPr>
            </w:pPr>
          </w:p>
          <w:p w14:paraId="18582B13" w14:textId="77777777" w:rsidR="005919DF" w:rsidRDefault="005919DF" w:rsidP="00B039EF">
            <w:pPr>
              <w:jc w:val="center"/>
              <w:rPr>
                <w:b/>
                <w:bCs/>
              </w:rPr>
            </w:pPr>
            <w:r>
              <w:rPr>
                <w:b/>
                <w:bCs/>
              </w:rPr>
              <w:t>#7 – Continuous Vulnerability Management</w:t>
            </w:r>
          </w:p>
          <w:p w14:paraId="09793041" w14:textId="77777777" w:rsidR="005919DF" w:rsidRPr="00B463A5" w:rsidRDefault="005919DF" w:rsidP="00B039EF">
            <w:pPr>
              <w:jc w:val="center"/>
              <w:rPr>
                <w:b/>
                <w:bCs/>
              </w:rPr>
            </w:pPr>
          </w:p>
        </w:tc>
        <w:tc>
          <w:tcPr>
            <w:tcW w:w="4228" w:type="dxa"/>
            <w:vAlign w:val="center"/>
          </w:tcPr>
          <w:p w14:paraId="093CD182" w14:textId="5FE7BA15" w:rsidR="005919DF" w:rsidRDefault="00926ADA" w:rsidP="00B039EF">
            <w:pPr>
              <w:jc w:val="center"/>
            </w:pPr>
            <w:r w:rsidRPr="00C33DC0">
              <w:t xml:space="preserve">Develop a plan to continuously assess and track vulnerabilities on all enterprise assets within the enterprise’s infrastructure, </w:t>
            </w:r>
            <w:proofErr w:type="gramStart"/>
            <w:r w:rsidRPr="00C33DC0">
              <w:t>in order to</w:t>
            </w:r>
            <w:proofErr w:type="gramEnd"/>
            <w:r w:rsidRPr="00C33DC0">
              <w:t xml:space="preserve"> remediate, and minimize, the window of opportunity for attackers. Monitor public and private industry sources for </w:t>
            </w:r>
            <w:r w:rsidRPr="00C33DC0">
              <w:lastRenderedPageBreak/>
              <w:t>new threat and vulnerability information</w:t>
            </w:r>
            <w:r>
              <w:t>.</w:t>
            </w:r>
          </w:p>
        </w:tc>
        <w:tc>
          <w:tcPr>
            <w:tcW w:w="2520" w:type="dxa"/>
            <w:vAlign w:val="center"/>
          </w:tcPr>
          <w:p w14:paraId="1D3EBF0E" w14:textId="6ECEF2D2" w:rsidR="00926ADA" w:rsidRDefault="00926ADA" w:rsidP="00B039EF">
            <w:pPr>
              <w:jc w:val="center"/>
            </w:pPr>
            <w:r>
              <w:lastRenderedPageBreak/>
              <w:t>Administrative/</w:t>
            </w:r>
          </w:p>
          <w:p w14:paraId="7D3E1BEC" w14:textId="1B94243B" w:rsidR="005919DF" w:rsidRDefault="00E92118" w:rsidP="00B039EF">
            <w:pPr>
              <w:jc w:val="center"/>
            </w:pPr>
            <w:r>
              <w:t>Physical/</w:t>
            </w:r>
            <w:r w:rsidR="005919DF">
              <w:t>Technical</w:t>
            </w:r>
          </w:p>
        </w:tc>
      </w:tr>
      <w:tr w:rsidR="005919DF" w14:paraId="56F9B3DA" w14:textId="77777777" w:rsidTr="00B039EF">
        <w:tc>
          <w:tcPr>
            <w:tcW w:w="2337" w:type="dxa"/>
            <w:shd w:val="clear" w:color="auto" w:fill="F2F2F2" w:themeFill="background1" w:themeFillShade="F2"/>
            <w:vAlign w:val="center"/>
          </w:tcPr>
          <w:p w14:paraId="002B6EF4" w14:textId="77777777" w:rsidR="005919DF" w:rsidRDefault="005919DF" w:rsidP="00B039EF">
            <w:pPr>
              <w:jc w:val="center"/>
              <w:rPr>
                <w:b/>
                <w:bCs/>
              </w:rPr>
            </w:pPr>
          </w:p>
          <w:p w14:paraId="1D4C3699" w14:textId="77777777" w:rsidR="005919DF" w:rsidRDefault="005919DF" w:rsidP="00B039EF">
            <w:pPr>
              <w:jc w:val="center"/>
              <w:rPr>
                <w:b/>
                <w:bCs/>
              </w:rPr>
            </w:pPr>
            <w:r>
              <w:rPr>
                <w:b/>
                <w:bCs/>
              </w:rPr>
              <w:t>#14 – Security Awareness &amp; Skills Training</w:t>
            </w:r>
          </w:p>
          <w:p w14:paraId="0FD748A7" w14:textId="77777777" w:rsidR="005919DF" w:rsidRDefault="005919DF" w:rsidP="00B039EF">
            <w:pPr>
              <w:jc w:val="center"/>
              <w:rPr>
                <w:b/>
                <w:bCs/>
              </w:rPr>
            </w:pPr>
          </w:p>
        </w:tc>
        <w:tc>
          <w:tcPr>
            <w:tcW w:w="4228" w:type="dxa"/>
            <w:vAlign w:val="center"/>
          </w:tcPr>
          <w:p w14:paraId="510AF1F4" w14:textId="0888B361" w:rsidR="005919DF" w:rsidRDefault="00926ADA" w:rsidP="00B039EF">
            <w:pPr>
              <w:jc w:val="center"/>
            </w:pPr>
            <w:r w:rsidRPr="00926ADA">
              <w:t>Establish and maintain a security awareness program to influence behavior among the workforce to be security conscious and properly skilled to reduce cybersecurity risks to the enterprise.</w:t>
            </w:r>
          </w:p>
        </w:tc>
        <w:tc>
          <w:tcPr>
            <w:tcW w:w="2520" w:type="dxa"/>
            <w:vAlign w:val="center"/>
          </w:tcPr>
          <w:p w14:paraId="2BF0FBD4" w14:textId="493004FC" w:rsidR="005919DF" w:rsidRDefault="005919DF" w:rsidP="00B039EF">
            <w:pPr>
              <w:jc w:val="center"/>
            </w:pPr>
            <w:r>
              <w:t>Administrative</w:t>
            </w:r>
          </w:p>
        </w:tc>
      </w:tr>
      <w:tr w:rsidR="005919DF" w14:paraId="316706ED" w14:textId="77777777" w:rsidTr="00B039EF">
        <w:tc>
          <w:tcPr>
            <w:tcW w:w="2337" w:type="dxa"/>
            <w:shd w:val="clear" w:color="auto" w:fill="F2F2F2" w:themeFill="background1" w:themeFillShade="F2"/>
            <w:vAlign w:val="center"/>
          </w:tcPr>
          <w:p w14:paraId="4475A91B" w14:textId="77777777" w:rsidR="005919DF" w:rsidRDefault="005919DF" w:rsidP="00B039EF">
            <w:pPr>
              <w:jc w:val="center"/>
              <w:rPr>
                <w:b/>
                <w:bCs/>
              </w:rPr>
            </w:pPr>
          </w:p>
          <w:p w14:paraId="70E554C3" w14:textId="77777777" w:rsidR="005919DF" w:rsidRDefault="005919DF" w:rsidP="00B039EF">
            <w:pPr>
              <w:jc w:val="center"/>
              <w:rPr>
                <w:b/>
                <w:bCs/>
              </w:rPr>
            </w:pPr>
            <w:r>
              <w:rPr>
                <w:b/>
                <w:bCs/>
              </w:rPr>
              <w:t>#17 – Incident Response Management</w:t>
            </w:r>
          </w:p>
          <w:p w14:paraId="28F1A285" w14:textId="77777777" w:rsidR="005919DF" w:rsidRDefault="005919DF" w:rsidP="00B039EF">
            <w:pPr>
              <w:jc w:val="center"/>
              <w:rPr>
                <w:b/>
                <w:bCs/>
              </w:rPr>
            </w:pPr>
          </w:p>
        </w:tc>
        <w:tc>
          <w:tcPr>
            <w:tcW w:w="4228" w:type="dxa"/>
            <w:vAlign w:val="center"/>
          </w:tcPr>
          <w:p w14:paraId="58F48E86" w14:textId="2CD8FDFA" w:rsidR="005919DF" w:rsidRDefault="00926ADA" w:rsidP="00B039EF">
            <w:pPr>
              <w:jc w:val="center"/>
            </w:pPr>
            <w:r w:rsidRPr="00926ADA">
              <w:t>Establish a program to develop and maintain an incident response capability (e.g., policies, plans, procedures, defined roles, training, and communications) to prepare, detect, and quickly respond to an attack.</w:t>
            </w:r>
          </w:p>
        </w:tc>
        <w:tc>
          <w:tcPr>
            <w:tcW w:w="2520" w:type="dxa"/>
            <w:vAlign w:val="center"/>
          </w:tcPr>
          <w:p w14:paraId="0D89DD6C" w14:textId="77777777" w:rsidR="00E92118" w:rsidRDefault="00E92118" w:rsidP="00B039EF">
            <w:pPr>
              <w:jc w:val="center"/>
            </w:pPr>
            <w:r>
              <w:t>Administrative/</w:t>
            </w:r>
          </w:p>
          <w:p w14:paraId="390C8C16" w14:textId="0DD05CEE" w:rsidR="005919DF" w:rsidRDefault="005919DF" w:rsidP="00B039EF">
            <w:pPr>
              <w:jc w:val="center"/>
            </w:pPr>
            <w:r>
              <w:t>Technical</w:t>
            </w:r>
          </w:p>
        </w:tc>
      </w:tr>
    </w:tbl>
    <w:p w14:paraId="279300AD" w14:textId="77777777" w:rsidR="005D536C" w:rsidRDefault="005D536C" w:rsidP="005D536C">
      <w:pPr>
        <w:spacing w:after="0" w:line="480" w:lineRule="auto"/>
        <w:rPr>
          <w:rFonts w:ascii="Times New Roman" w:hAnsi="Times New Roman" w:cs="Times New Roman"/>
          <w:b/>
          <w:bCs/>
          <w:u w:val="single"/>
        </w:rPr>
      </w:pPr>
    </w:p>
    <w:p w14:paraId="74C38F50" w14:textId="02AD3277" w:rsidR="003D3534" w:rsidRPr="003D3534" w:rsidRDefault="003D3534" w:rsidP="003D3534">
      <w:pPr>
        <w:spacing w:after="0" w:line="480" w:lineRule="auto"/>
        <w:jc w:val="center"/>
        <w:rPr>
          <w:rFonts w:ascii="Times New Roman" w:hAnsi="Times New Roman" w:cs="Times New Roman"/>
          <w:b/>
          <w:bCs/>
          <w:u w:val="single"/>
        </w:rPr>
      </w:pPr>
      <w:r>
        <w:rPr>
          <w:rFonts w:ascii="Times New Roman" w:hAnsi="Times New Roman" w:cs="Times New Roman"/>
          <w:b/>
          <w:bCs/>
          <w:u w:val="single"/>
        </w:rPr>
        <w:t>Sources</w:t>
      </w:r>
    </w:p>
    <w:p w14:paraId="259CD33A" w14:textId="622B612C" w:rsidR="005919DF" w:rsidRDefault="005919DF" w:rsidP="005919DF">
      <w:pPr>
        <w:ind w:left="720" w:hanging="720"/>
        <w:rPr>
          <w:rFonts w:ascii="Times New Roman" w:hAnsi="Times New Roman" w:cs="Times New Roman"/>
        </w:rPr>
      </w:pPr>
      <w:r w:rsidRPr="005919DF">
        <w:rPr>
          <w:rFonts w:ascii="Times New Roman" w:hAnsi="Times New Roman" w:cs="Times New Roman"/>
        </w:rPr>
        <w:t xml:space="preserve">Center for Internet Security. “The 18 CIS Controls.” CIS, 2024, </w:t>
      </w:r>
      <w:hyperlink r:id="rId5" w:history="1">
        <w:r w:rsidRPr="00AB0C13">
          <w:rPr>
            <w:rStyle w:val="Hyperlink"/>
            <w:rFonts w:ascii="Times New Roman" w:hAnsi="Times New Roman" w:cs="Times New Roman"/>
          </w:rPr>
          <w:t>https://www.cisecurity.org/controls/cis-controls-list</w:t>
        </w:r>
      </w:hyperlink>
    </w:p>
    <w:p w14:paraId="467EA863" w14:textId="247716E4" w:rsidR="00F1301B" w:rsidRDefault="005919DF" w:rsidP="005919DF">
      <w:pPr>
        <w:ind w:left="720" w:hanging="720"/>
        <w:rPr>
          <w:rFonts w:ascii="Times New Roman" w:hAnsi="Times New Roman" w:cs="Times New Roman"/>
        </w:rPr>
      </w:pPr>
      <w:r w:rsidRPr="005919DF">
        <w:rPr>
          <w:rFonts w:ascii="Times New Roman" w:hAnsi="Times New Roman" w:cs="Times New Roman"/>
        </w:rPr>
        <w:t xml:space="preserve">Siddiqui, Laiba. “CIS Critical Security Controls 101: Everything to Know about the 18 Controls.” Splunk-Blogs, 11 Oct. 2024, </w:t>
      </w:r>
      <w:hyperlink r:id="rId6" w:history="1">
        <w:r w:rsidRPr="00AB0C13">
          <w:rPr>
            <w:rStyle w:val="Hyperlink"/>
            <w:rFonts w:ascii="Times New Roman" w:hAnsi="Times New Roman" w:cs="Times New Roman"/>
          </w:rPr>
          <w:t>http://www.splunk.com/en_us/blog/learn/cis-critical-security-controls.html</w:t>
        </w:r>
      </w:hyperlink>
    </w:p>
    <w:p w14:paraId="6399CA69" w14:textId="67645B83" w:rsidR="005919DF" w:rsidRPr="00F1301B" w:rsidRDefault="005919DF" w:rsidP="005919DF">
      <w:pPr>
        <w:ind w:left="720" w:hanging="720"/>
        <w:rPr>
          <w:rFonts w:ascii="Times New Roman" w:hAnsi="Times New Roman" w:cs="Times New Roman"/>
        </w:rPr>
      </w:pPr>
    </w:p>
    <w:sectPr w:rsidR="005919DF" w:rsidRPr="00F130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31AE"/>
    <w:multiLevelType w:val="hybridMultilevel"/>
    <w:tmpl w:val="C35646CC"/>
    <w:lvl w:ilvl="0" w:tplc="262CD9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DF690C"/>
    <w:multiLevelType w:val="hybridMultilevel"/>
    <w:tmpl w:val="B9EAF8D0"/>
    <w:lvl w:ilvl="0" w:tplc="3940C82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1901A0"/>
    <w:multiLevelType w:val="hybridMultilevel"/>
    <w:tmpl w:val="BAACC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4925B8"/>
    <w:multiLevelType w:val="hybridMultilevel"/>
    <w:tmpl w:val="045ECDFC"/>
    <w:lvl w:ilvl="0" w:tplc="29B2D5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7A2F8F"/>
    <w:multiLevelType w:val="multilevel"/>
    <w:tmpl w:val="7FC2C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316359"/>
    <w:multiLevelType w:val="hybridMultilevel"/>
    <w:tmpl w:val="EC5401B8"/>
    <w:lvl w:ilvl="0" w:tplc="589844BC">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5757A7"/>
    <w:multiLevelType w:val="hybridMultilevel"/>
    <w:tmpl w:val="F91665DC"/>
    <w:lvl w:ilvl="0" w:tplc="6324B37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A1C3726"/>
    <w:multiLevelType w:val="hybridMultilevel"/>
    <w:tmpl w:val="BC9C3D58"/>
    <w:lvl w:ilvl="0" w:tplc="D64805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C158EA"/>
    <w:multiLevelType w:val="hybridMultilevel"/>
    <w:tmpl w:val="877C3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B22D06"/>
    <w:multiLevelType w:val="hybridMultilevel"/>
    <w:tmpl w:val="7C4254BE"/>
    <w:lvl w:ilvl="0" w:tplc="04090013">
      <w:start w:val="1"/>
      <w:numFmt w:val="upp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D4301A0"/>
    <w:multiLevelType w:val="hybridMultilevel"/>
    <w:tmpl w:val="FBA6C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B729E5"/>
    <w:multiLevelType w:val="hybridMultilevel"/>
    <w:tmpl w:val="A620C4C2"/>
    <w:lvl w:ilvl="0" w:tplc="31C484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D515E02"/>
    <w:multiLevelType w:val="hybridMultilevel"/>
    <w:tmpl w:val="7AA2F978"/>
    <w:lvl w:ilvl="0" w:tplc="F6DCFD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11E3C23"/>
    <w:multiLevelType w:val="hybridMultilevel"/>
    <w:tmpl w:val="03F8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016F3C"/>
    <w:multiLevelType w:val="hybridMultilevel"/>
    <w:tmpl w:val="815E94D0"/>
    <w:lvl w:ilvl="0" w:tplc="C4DCD6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9125B6E"/>
    <w:multiLevelType w:val="hybridMultilevel"/>
    <w:tmpl w:val="5B986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5426A6"/>
    <w:multiLevelType w:val="hybridMultilevel"/>
    <w:tmpl w:val="52F86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3400D1"/>
    <w:multiLevelType w:val="hybridMultilevel"/>
    <w:tmpl w:val="61E4EE9E"/>
    <w:lvl w:ilvl="0" w:tplc="267A61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A82073"/>
    <w:multiLevelType w:val="hybridMultilevel"/>
    <w:tmpl w:val="2CC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E93914"/>
    <w:multiLevelType w:val="hybridMultilevel"/>
    <w:tmpl w:val="EDE89DF2"/>
    <w:lvl w:ilvl="0" w:tplc="FD5A29E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73320DCD"/>
    <w:multiLevelType w:val="hybridMultilevel"/>
    <w:tmpl w:val="C278EEDC"/>
    <w:lvl w:ilvl="0" w:tplc="34BEAAA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C326339"/>
    <w:multiLevelType w:val="hybridMultilevel"/>
    <w:tmpl w:val="0D0E1D02"/>
    <w:lvl w:ilvl="0" w:tplc="34FC043E">
      <w:start w:val="1"/>
      <w:numFmt w:val="decimal"/>
      <w:lvlText w:val="%1."/>
      <w:lvlJc w:val="left"/>
      <w:pPr>
        <w:ind w:left="1080" w:hanging="360"/>
      </w:pPr>
      <w:rPr>
        <w:rFonts w:hint="default"/>
        <w:b w:val="0"/>
        <w:u w:val="none"/>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46144813">
    <w:abstractNumId w:val="17"/>
  </w:num>
  <w:num w:numId="2" w16cid:durableId="534856096">
    <w:abstractNumId w:val="7"/>
  </w:num>
  <w:num w:numId="3" w16cid:durableId="756445842">
    <w:abstractNumId w:val="1"/>
  </w:num>
  <w:num w:numId="4" w16cid:durableId="1204755710">
    <w:abstractNumId w:val="10"/>
  </w:num>
  <w:num w:numId="5" w16cid:durableId="1935361629">
    <w:abstractNumId w:val="6"/>
  </w:num>
  <w:num w:numId="6" w16cid:durableId="300118837">
    <w:abstractNumId w:val="20"/>
  </w:num>
  <w:num w:numId="7" w16cid:durableId="164711967">
    <w:abstractNumId w:val="4"/>
  </w:num>
  <w:num w:numId="8" w16cid:durableId="2094744277">
    <w:abstractNumId w:val="3"/>
  </w:num>
  <w:num w:numId="9" w16cid:durableId="1358503794">
    <w:abstractNumId w:val="9"/>
  </w:num>
  <w:num w:numId="10" w16cid:durableId="24059641">
    <w:abstractNumId w:val="12"/>
  </w:num>
  <w:num w:numId="11" w16cid:durableId="323094424">
    <w:abstractNumId w:val="5"/>
  </w:num>
  <w:num w:numId="12" w16cid:durableId="780103801">
    <w:abstractNumId w:val="0"/>
  </w:num>
  <w:num w:numId="13" w16cid:durableId="569582016">
    <w:abstractNumId w:val="19"/>
  </w:num>
  <w:num w:numId="14" w16cid:durableId="193540422">
    <w:abstractNumId w:val="13"/>
  </w:num>
  <w:num w:numId="15" w16cid:durableId="951744670">
    <w:abstractNumId w:val="11"/>
  </w:num>
  <w:num w:numId="16" w16cid:durableId="347295048">
    <w:abstractNumId w:val="18"/>
  </w:num>
  <w:num w:numId="17" w16cid:durableId="858735551">
    <w:abstractNumId w:val="15"/>
  </w:num>
  <w:num w:numId="18" w16cid:durableId="928275164">
    <w:abstractNumId w:val="14"/>
  </w:num>
  <w:num w:numId="19" w16cid:durableId="83115928">
    <w:abstractNumId w:val="2"/>
  </w:num>
  <w:num w:numId="20" w16cid:durableId="1289625119">
    <w:abstractNumId w:val="8"/>
  </w:num>
  <w:num w:numId="21" w16cid:durableId="1245993240">
    <w:abstractNumId w:val="16"/>
  </w:num>
  <w:num w:numId="22" w16cid:durableId="117375831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E30"/>
    <w:rsid w:val="00006347"/>
    <w:rsid w:val="00024C04"/>
    <w:rsid w:val="00050C9C"/>
    <w:rsid w:val="000701ED"/>
    <w:rsid w:val="0007260D"/>
    <w:rsid w:val="00085EBD"/>
    <w:rsid w:val="000A2549"/>
    <w:rsid w:val="000A3328"/>
    <w:rsid w:val="000B1B15"/>
    <w:rsid w:val="000C1A1E"/>
    <w:rsid w:val="000C29AE"/>
    <w:rsid w:val="0010145A"/>
    <w:rsid w:val="00117C8B"/>
    <w:rsid w:val="001265A5"/>
    <w:rsid w:val="00152084"/>
    <w:rsid w:val="00154BE1"/>
    <w:rsid w:val="0015756C"/>
    <w:rsid w:val="0017227C"/>
    <w:rsid w:val="00173148"/>
    <w:rsid w:val="001931FE"/>
    <w:rsid w:val="001D17DB"/>
    <w:rsid w:val="001D52EA"/>
    <w:rsid w:val="001F0A48"/>
    <w:rsid w:val="001F398A"/>
    <w:rsid w:val="001F590F"/>
    <w:rsid w:val="00212E07"/>
    <w:rsid w:val="00231200"/>
    <w:rsid w:val="00232F3C"/>
    <w:rsid w:val="002439E1"/>
    <w:rsid w:val="002908F9"/>
    <w:rsid w:val="0029315A"/>
    <w:rsid w:val="002A7D37"/>
    <w:rsid w:val="002C35A1"/>
    <w:rsid w:val="002D248D"/>
    <w:rsid w:val="002D4BC0"/>
    <w:rsid w:val="002F58E4"/>
    <w:rsid w:val="00316E42"/>
    <w:rsid w:val="00332E29"/>
    <w:rsid w:val="003365ED"/>
    <w:rsid w:val="003409AE"/>
    <w:rsid w:val="00342786"/>
    <w:rsid w:val="003444E5"/>
    <w:rsid w:val="003529D0"/>
    <w:rsid w:val="00353503"/>
    <w:rsid w:val="00361E19"/>
    <w:rsid w:val="0036369D"/>
    <w:rsid w:val="00366633"/>
    <w:rsid w:val="00384B84"/>
    <w:rsid w:val="00385DC2"/>
    <w:rsid w:val="0039572D"/>
    <w:rsid w:val="003B0437"/>
    <w:rsid w:val="003C7EB7"/>
    <w:rsid w:val="003D1C77"/>
    <w:rsid w:val="003D3534"/>
    <w:rsid w:val="003E1333"/>
    <w:rsid w:val="004028FB"/>
    <w:rsid w:val="004105B0"/>
    <w:rsid w:val="0041475E"/>
    <w:rsid w:val="00415A8F"/>
    <w:rsid w:val="00433A9D"/>
    <w:rsid w:val="004372C6"/>
    <w:rsid w:val="004513DB"/>
    <w:rsid w:val="004654C7"/>
    <w:rsid w:val="004860ED"/>
    <w:rsid w:val="004A7605"/>
    <w:rsid w:val="004B1D2C"/>
    <w:rsid w:val="004B60F9"/>
    <w:rsid w:val="004C5E4C"/>
    <w:rsid w:val="004F6B20"/>
    <w:rsid w:val="004F6E30"/>
    <w:rsid w:val="00511AA3"/>
    <w:rsid w:val="005217D2"/>
    <w:rsid w:val="005221E7"/>
    <w:rsid w:val="005252C4"/>
    <w:rsid w:val="005358DA"/>
    <w:rsid w:val="00536185"/>
    <w:rsid w:val="005425B7"/>
    <w:rsid w:val="0055187F"/>
    <w:rsid w:val="00587CA7"/>
    <w:rsid w:val="005919DF"/>
    <w:rsid w:val="005A7E28"/>
    <w:rsid w:val="005B0786"/>
    <w:rsid w:val="005B0D02"/>
    <w:rsid w:val="005C560D"/>
    <w:rsid w:val="005C6BBE"/>
    <w:rsid w:val="005D536C"/>
    <w:rsid w:val="005E5FCE"/>
    <w:rsid w:val="005E6985"/>
    <w:rsid w:val="00606FC2"/>
    <w:rsid w:val="00611180"/>
    <w:rsid w:val="0061584D"/>
    <w:rsid w:val="00620A11"/>
    <w:rsid w:val="0064318F"/>
    <w:rsid w:val="006837BE"/>
    <w:rsid w:val="00684EA5"/>
    <w:rsid w:val="00692BA8"/>
    <w:rsid w:val="00695C6C"/>
    <w:rsid w:val="006A05B2"/>
    <w:rsid w:val="006A5615"/>
    <w:rsid w:val="006D267C"/>
    <w:rsid w:val="006D3A70"/>
    <w:rsid w:val="006E5FE9"/>
    <w:rsid w:val="0070197B"/>
    <w:rsid w:val="0070270D"/>
    <w:rsid w:val="00714A82"/>
    <w:rsid w:val="00720E65"/>
    <w:rsid w:val="007214FA"/>
    <w:rsid w:val="007240F2"/>
    <w:rsid w:val="00742C09"/>
    <w:rsid w:val="00782B6C"/>
    <w:rsid w:val="00786AC7"/>
    <w:rsid w:val="00794199"/>
    <w:rsid w:val="007A4249"/>
    <w:rsid w:val="007B348D"/>
    <w:rsid w:val="007C21FF"/>
    <w:rsid w:val="007F54C9"/>
    <w:rsid w:val="00802215"/>
    <w:rsid w:val="00816E3F"/>
    <w:rsid w:val="008243C4"/>
    <w:rsid w:val="008268DF"/>
    <w:rsid w:val="00830548"/>
    <w:rsid w:val="00831876"/>
    <w:rsid w:val="008324D2"/>
    <w:rsid w:val="00840CD4"/>
    <w:rsid w:val="0087500B"/>
    <w:rsid w:val="008F78B6"/>
    <w:rsid w:val="00904505"/>
    <w:rsid w:val="009077F5"/>
    <w:rsid w:val="00926ADA"/>
    <w:rsid w:val="009609F0"/>
    <w:rsid w:val="00964B6B"/>
    <w:rsid w:val="00971EEE"/>
    <w:rsid w:val="00984AB1"/>
    <w:rsid w:val="009A604A"/>
    <w:rsid w:val="009B0A6E"/>
    <w:rsid w:val="009D0376"/>
    <w:rsid w:val="009D7B3A"/>
    <w:rsid w:val="009F347C"/>
    <w:rsid w:val="00A10D64"/>
    <w:rsid w:val="00A35941"/>
    <w:rsid w:val="00A46B1A"/>
    <w:rsid w:val="00A517BE"/>
    <w:rsid w:val="00A623AC"/>
    <w:rsid w:val="00A717CD"/>
    <w:rsid w:val="00AA6CC7"/>
    <w:rsid w:val="00AB0B34"/>
    <w:rsid w:val="00AD5E96"/>
    <w:rsid w:val="00AF633E"/>
    <w:rsid w:val="00B058EB"/>
    <w:rsid w:val="00B242F5"/>
    <w:rsid w:val="00B376EF"/>
    <w:rsid w:val="00B47BB7"/>
    <w:rsid w:val="00B5070E"/>
    <w:rsid w:val="00B54E68"/>
    <w:rsid w:val="00B74EB8"/>
    <w:rsid w:val="00BB3F84"/>
    <w:rsid w:val="00BD6951"/>
    <w:rsid w:val="00BD6D7B"/>
    <w:rsid w:val="00BE4CC8"/>
    <w:rsid w:val="00C019EE"/>
    <w:rsid w:val="00C03583"/>
    <w:rsid w:val="00C040B5"/>
    <w:rsid w:val="00C16C05"/>
    <w:rsid w:val="00C57DC6"/>
    <w:rsid w:val="00C64AC4"/>
    <w:rsid w:val="00C71106"/>
    <w:rsid w:val="00C860E5"/>
    <w:rsid w:val="00C87334"/>
    <w:rsid w:val="00CB0BA2"/>
    <w:rsid w:val="00CB2682"/>
    <w:rsid w:val="00CC5BA9"/>
    <w:rsid w:val="00CD0474"/>
    <w:rsid w:val="00CD712B"/>
    <w:rsid w:val="00CE2654"/>
    <w:rsid w:val="00CF7339"/>
    <w:rsid w:val="00D04A28"/>
    <w:rsid w:val="00D06A17"/>
    <w:rsid w:val="00D1143F"/>
    <w:rsid w:val="00D21A37"/>
    <w:rsid w:val="00D52854"/>
    <w:rsid w:val="00D73DE5"/>
    <w:rsid w:val="00D76AAF"/>
    <w:rsid w:val="00D76C7B"/>
    <w:rsid w:val="00D772D9"/>
    <w:rsid w:val="00DA1085"/>
    <w:rsid w:val="00DF3ED0"/>
    <w:rsid w:val="00DF56A2"/>
    <w:rsid w:val="00DF77B3"/>
    <w:rsid w:val="00E006C6"/>
    <w:rsid w:val="00E05AD4"/>
    <w:rsid w:val="00E24449"/>
    <w:rsid w:val="00E3483C"/>
    <w:rsid w:val="00E37220"/>
    <w:rsid w:val="00E46F16"/>
    <w:rsid w:val="00E50133"/>
    <w:rsid w:val="00E738AD"/>
    <w:rsid w:val="00E92118"/>
    <w:rsid w:val="00EB2436"/>
    <w:rsid w:val="00EB406A"/>
    <w:rsid w:val="00ED5D73"/>
    <w:rsid w:val="00F040D4"/>
    <w:rsid w:val="00F1301B"/>
    <w:rsid w:val="00F20700"/>
    <w:rsid w:val="00F5785E"/>
    <w:rsid w:val="00F60937"/>
    <w:rsid w:val="00FB2B96"/>
    <w:rsid w:val="00FB2C66"/>
    <w:rsid w:val="00FC4939"/>
    <w:rsid w:val="00FD399F"/>
    <w:rsid w:val="00FD5A6C"/>
    <w:rsid w:val="00FE1DF4"/>
    <w:rsid w:val="00FE39F3"/>
    <w:rsid w:val="00FF2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9AA4D"/>
  <w15:chartTrackingRefBased/>
  <w15:docId w15:val="{FAF50E88-5C44-4D9D-96FB-966D3E81B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E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E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E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E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E30"/>
    <w:rPr>
      <w:rFonts w:eastAsiaTheme="majorEastAsia" w:cstheme="majorBidi"/>
      <w:color w:val="272727" w:themeColor="text1" w:themeTint="D8"/>
    </w:rPr>
  </w:style>
  <w:style w:type="paragraph" w:styleId="Title">
    <w:name w:val="Title"/>
    <w:basedOn w:val="Normal"/>
    <w:next w:val="Normal"/>
    <w:link w:val="TitleChar"/>
    <w:uiPriority w:val="10"/>
    <w:qFormat/>
    <w:rsid w:val="004F6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E30"/>
    <w:pPr>
      <w:spacing w:before="160"/>
      <w:jc w:val="center"/>
    </w:pPr>
    <w:rPr>
      <w:i/>
      <w:iCs/>
      <w:color w:val="404040" w:themeColor="text1" w:themeTint="BF"/>
    </w:rPr>
  </w:style>
  <w:style w:type="character" w:customStyle="1" w:styleId="QuoteChar">
    <w:name w:val="Quote Char"/>
    <w:basedOn w:val="DefaultParagraphFont"/>
    <w:link w:val="Quote"/>
    <w:uiPriority w:val="29"/>
    <w:rsid w:val="004F6E30"/>
    <w:rPr>
      <w:i/>
      <w:iCs/>
      <w:color w:val="404040" w:themeColor="text1" w:themeTint="BF"/>
    </w:rPr>
  </w:style>
  <w:style w:type="paragraph" w:styleId="ListParagraph">
    <w:name w:val="List Paragraph"/>
    <w:basedOn w:val="Normal"/>
    <w:uiPriority w:val="34"/>
    <w:qFormat/>
    <w:rsid w:val="004F6E30"/>
    <w:pPr>
      <w:ind w:left="720"/>
      <w:contextualSpacing/>
    </w:pPr>
  </w:style>
  <w:style w:type="character" w:styleId="IntenseEmphasis">
    <w:name w:val="Intense Emphasis"/>
    <w:basedOn w:val="DefaultParagraphFont"/>
    <w:uiPriority w:val="21"/>
    <w:qFormat/>
    <w:rsid w:val="004F6E30"/>
    <w:rPr>
      <w:i/>
      <w:iCs/>
      <w:color w:val="0F4761" w:themeColor="accent1" w:themeShade="BF"/>
    </w:rPr>
  </w:style>
  <w:style w:type="paragraph" w:styleId="IntenseQuote">
    <w:name w:val="Intense Quote"/>
    <w:basedOn w:val="Normal"/>
    <w:next w:val="Normal"/>
    <w:link w:val="IntenseQuoteChar"/>
    <w:uiPriority w:val="30"/>
    <w:qFormat/>
    <w:rsid w:val="004F6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E30"/>
    <w:rPr>
      <w:i/>
      <w:iCs/>
      <w:color w:val="0F4761" w:themeColor="accent1" w:themeShade="BF"/>
    </w:rPr>
  </w:style>
  <w:style w:type="character" w:styleId="IntenseReference">
    <w:name w:val="Intense Reference"/>
    <w:basedOn w:val="DefaultParagraphFont"/>
    <w:uiPriority w:val="32"/>
    <w:qFormat/>
    <w:rsid w:val="004F6E30"/>
    <w:rPr>
      <w:b/>
      <w:bCs/>
      <w:smallCaps/>
      <w:color w:val="0F4761" w:themeColor="accent1" w:themeShade="BF"/>
      <w:spacing w:val="5"/>
    </w:rPr>
  </w:style>
  <w:style w:type="table" w:styleId="TableGrid">
    <w:name w:val="Table Grid"/>
    <w:basedOn w:val="TableNormal"/>
    <w:uiPriority w:val="39"/>
    <w:rsid w:val="009D03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DF77B3"/>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Hyperlink">
    <w:name w:val="Hyperlink"/>
    <w:basedOn w:val="DefaultParagraphFont"/>
    <w:uiPriority w:val="99"/>
    <w:unhideWhenUsed/>
    <w:rsid w:val="00AB0B34"/>
    <w:rPr>
      <w:color w:val="467886" w:themeColor="hyperlink"/>
      <w:u w:val="single"/>
    </w:rPr>
  </w:style>
  <w:style w:type="character" w:styleId="UnresolvedMention">
    <w:name w:val="Unresolved Mention"/>
    <w:basedOn w:val="DefaultParagraphFont"/>
    <w:uiPriority w:val="99"/>
    <w:semiHidden/>
    <w:unhideWhenUsed/>
    <w:rsid w:val="00AB0B34"/>
    <w:rPr>
      <w:color w:val="605E5C"/>
      <w:shd w:val="clear" w:color="auto" w:fill="E1DFDD"/>
    </w:rPr>
  </w:style>
  <w:style w:type="table" w:styleId="GridTable4-Accent3">
    <w:name w:val="Grid Table 4 Accent 3"/>
    <w:basedOn w:val="TableNormal"/>
    <w:uiPriority w:val="49"/>
    <w:rsid w:val="00C71106"/>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styleId="FollowedHyperlink">
    <w:name w:val="FollowedHyperlink"/>
    <w:basedOn w:val="DefaultParagraphFont"/>
    <w:uiPriority w:val="99"/>
    <w:semiHidden/>
    <w:unhideWhenUsed/>
    <w:rsid w:val="007F54C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7691">
      <w:bodyDiv w:val="1"/>
      <w:marLeft w:val="0"/>
      <w:marRight w:val="0"/>
      <w:marTop w:val="0"/>
      <w:marBottom w:val="0"/>
      <w:divBdr>
        <w:top w:val="none" w:sz="0" w:space="0" w:color="auto"/>
        <w:left w:val="none" w:sz="0" w:space="0" w:color="auto"/>
        <w:bottom w:val="none" w:sz="0" w:space="0" w:color="auto"/>
        <w:right w:val="none" w:sz="0" w:space="0" w:color="auto"/>
      </w:divBdr>
      <w:divsChild>
        <w:div w:id="1230075359">
          <w:marLeft w:val="0"/>
          <w:marRight w:val="0"/>
          <w:marTop w:val="0"/>
          <w:marBottom w:val="240"/>
          <w:divBdr>
            <w:top w:val="none" w:sz="0" w:space="0" w:color="auto"/>
            <w:left w:val="none" w:sz="0" w:space="0" w:color="auto"/>
            <w:bottom w:val="none" w:sz="0" w:space="0" w:color="auto"/>
            <w:right w:val="none" w:sz="0" w:space="0" w:color="auto"/>
          </w:divBdr>
        </w:div>
        <w:div w:id="2045253444">
          <w:marLeft w:val="0"/>
          <w:marRight w:val="0"/>
          <w:marTop w:val="0"/>
          <w:marBottom w:val="240"/>
          <w:divBdr>
            <w:top w:val="none" w:sz="0" w:space="0" w:color="auto"/>
            <w:left w:val="none" w:sz="0" w:space="0" w:color="auto"/>
            <w:bottom w:val="none" w:sz="0" w:space="0" w:color="auto"/>
            <w:right w:val="none" w:sz="0" w:space="0" w:color="auto"/>
          </w:divBdr>
        </w:div>
        <w:div w:id="696078581">
          <w:marLeft w:val="0"/>
          <w:marRight w:val="0"/>
          <w:marTop w:val="0"/>
          <w:marBottom w:val="240"/>
          <w:divBdr>
            <w:top w:val="none" w:sz="0" w:space="0" w:color="auto"/>
            <w:left w:val="none" w:sz="0" w:space="0" w:color="auto"/>
            <w:bottom w:val="none" w:sz="0" w:space="0" w:color="auto"/>
            <w:right w:val="none" w:sz="0" w:space="0" w:color="auto"/>
          </w:divBdr>
        </w:div>
        <w:div w:id="1612207097">
          <w:marLeft w:val="0"/>
          <w:marRight w:val="0"/>
          <w:marTop w:val="0"/>
          <w:marBottom w:val="240"/>
          <w:divBdr>
            <w:top w:val="none" w:sz="0" w:space="0" w:color="auto"/>
            <w:left w:val="none" w:sz="0" w:space="0" w:color="auto"/>
            <w:bottom w:val="none" w:sz="0" w:space="0" w:color="auto"/>
            <w:right w:val="none" w:sz="0" w:space="0" w:color="auto"/>
          </w:divBdr>
        </w:div>
        <w:div w:id="583337477">
          <w:marLeft w:val="0"/>
          <w:marRight w:val="0"/>
          <w:marTop w:val="0"/>
          <w:marBottom w:val="240"/>
          <w:divBdr>
            <w:top w:val="none" w:sz="0" w:space="0" w:color="auto"/>
            <w:left w:val="none" w:sz="0" w:space="0" w:color="auto"/>
            <w:bottom w:val="none" w:sz="0" w:space="0" w:color="auto"/>
            <w:right w:val="none" w:sz="0" w:space="0" w:color="auto"/>
          </w:divBdr>
        </w:div>
      </w:divsChild>
    </w:div>
    <w:div w:id="188838047">
      <w:bodyDiv w:val="1"/>
      <w:marLeft w:val="0"/>
      <w:marRight w:val="0"/>
      <w:marTop w:val="0"/>
      <w:marBottom w:val="0"/>
      <w:divBdr>
        <w:top w:val="none" w:sz="0" w:space="0" w:color="auto"/>
        <w:left w:val="none" w:sz="0" w:space="0" w:color="auto"/>
        <w:bottom w:val="none" w:sz="0" w:space="0" w:color="auto"/>
        <w:right w:val="none" w:sz="0" w:space="0" w:color="auto"/>
      </w:divBdr>
    </w:div>
    <w:div w:id="479276573">
      <w:bodyDiv w:val="1"/>
      <w:marLeft w:val="0"/>
      <w:marRight w:val="0"/>
      <w:marTop w:val="0"/>
      <w:marBottom w:val="0"/>
      <w:divBdr>
        <w:top w:val="none" w:sz="0" w:space="0" w:color="auto"/>
        <w:left w:val="none" w:sz="0" w:space="0" w:color="auto"/>
        <w:bottom w:val="none" w:sz="0" w:space="0" w:color="auto"/>
        <w:right w:val="none" w:sz="0" w:space="0" w:color="auto"/>
      </w:divBdr>
    </w:div>
    <w:div w:id="517741633">
      <w:bodyDiv w:val="1"/>
      <w:marLeft w:val="0"/>
      <w:marRight w:val="0"/>
      <w:marTop w:val="0"/>
      <w:marBottom w:val="0"/>
      <w:divBdr>
        <w:top w:val="none" w:sz="0" w:space="0" w:color="auto"/>
        <w:left w:val="none" w:sz="0" w:space="0" w:color="auto"/>
        <w:bottom w:val="none" w:sz="0" w:space="0" w:color="auto"/>
        <w:right w:val="none" w:sz="0" w:space="0" w:color="auto"/>
      </w:divBdr>
    </w:div>
    <w:div w:id="755597186">
      <w:bodyDiv w:val="1"/>
      <w:marLeft w:val="0"/>
      <w:marRight w:val="0"/>
      <w:marTop w:val="0"/>
      <w:marBottom w:val="0"/>
      <w:divBdr>
        <w:top w:val="none" w:sz="0" w:space="0" w:color="auto"/>
        <w:left w:val="none" w:sz="0" w:space="0" w:color="auto"/>
        <w:bottom w:val="none" w:sz="0" w:space="0" w:color="auto"/>
        <w:right w:val="none" w:sz="0" w:space="0" w:color="auto"/>
      </w:divBdr>
    </w:div>
    <w:div w:id="758211548">
      <w:bodyDiv w:val="1"/>
      <w:marLeft w:val="0"/>
      <w:marRight w:val="0"/>
      <w:marTop w:val="0"/>
      <w:marBottom w:val="0"/>
      <w:divBdr>
        <w:top w:val="none" w:sz="0" w:space="0" w:color="auto"/>
        <w:left w:val="none" w:sz="0" w:space="0" w:color="auto"/>
        <w:bottom w:val="none" w:sz="0" w:space="0" w:color="auto"/>
        <w:right w:val="none" w:sz="0" w:space="0" w:color="auto"/>
      </w:divBdr>
    </w:div>
    <w:div w:id="1009138088">
      <w:bodyDiv w:val="1"/>
      <w:marLeft w:val="0"/>
      <w:marRight w:val="0"/>
      <w:marTop w:val="0"/>
      <w:marBottom w:val="0"/>
      <w:divBdr>
        <w:top w:val="none" w:sz="0" w:space="0" w:color="auto"/>
        <w:left w:val="none" w:sz="0" w:space="0" w:color="auto"/>
        <w:bottom w:val="none" w:sz="0" w:space="0" w:color="auto"/>
        <w:right w:val="none" w:sz="0" w:space="0" w:color="auto"/>
      </w:divBdr>
    </w:div>
    <w:div w:id="1227496745">
      <w:bodyDiv w:val="1"/>
      <w:marLeft w:val="0"/>
      <w:marRight w:val="0"/>
      <w:marTop w:val="0"/>
      <w:marBottom w:val="0"/>
      <w:divBdr>
        <w:top w:val="none" w:sz="0" w:space="0" w:color="auto"/>
        <w:left w:val="none" w:sz="0" w:space="0" w:color="auto"/>
        <w:bottom w:val="none" w:sz="0" w:space="0" w:color="auto"/>
        <w:right w:val="none" w:sz="0" w:space="0" w:color="auto"/>
      </w:divBdr>
    </w:div>
    <w:div w:id="1253197098">
      <w:bodyDiv w:val="1"/>
      <w:marLeft w:val="0"/>
      <w:marRight w:val="0"/>
      <w:marTop w:val="0"/>
      <w:marBottom w:val="0"/>
      <w:divBdr>
        <w:top w:val="none" w:sz="0" w:space="0" w:color="auto"/>
        <w:left w:val="none" w:sz="0" w:space="0" w:color="auto"/>
        <w:bottom w:val="none" w:sz="0" w:space="0" w:color="auto"/>
        <w:right w:val="none" w:sz="0" w:space="0" w:color="auto"/>
      </w:divBdr>
    </w:div>
    <w:div w:id="1277324524">
      <w:bodyDiv w:val="1"/>
      <w:marLeft w:val="0"/>
      <w:marRight w:val="0"/>
      <w:marTop w:val="0"/>
      <w:marBottom w:val="0"/>
      <w:divBdr>
        <w:top w:val="none" w:sz="0" w:space="0" w:color="auto"/>
        <w:left w:val="none" w:sz="0" w:space="0" w:color="auto"/>
        <w:bottom w:val="none" w:sz="0" w:space="0" w:color="auto"/>
        <w:right w:val="none" w:sz="0" w:space="0" w:color="auto"/>
      </w:divBdr>
    </w:div>
    <w:div w:id="1700548575">
      <w:bodyDiv w:val="1"/>
      <w:marLeft w:val="0"/>
      <w:marRight w:val="0"/>
      <w:marTop w:val="0"/>
      <w:marBottom w:val="0"/>
      <w:divBdr>
        <w:top w:val="none" w:sz="0" w:space="0" w:color="auto"/>
        <w:left w:val="none" w:sz="0" w:space="0" w:color="auto"/>
        <w:bottom w:val="none" w:sz="0" w:space="0" w:color="auto"/>
        <w:right w:val="none" w:sz="0" w:space="0" w:color="auto"/>
      </w:divBdr>
    </w:div>
    <w:div w:id="1792896165">
      <w:bodyDiv w:val="1"/>
      <w:marLeft w:val="0"/>
      <w:marRight w:val="0"/>
      <w:marTop w:val="0"/>
      <w:marBottom w:val="0"/>
      <w:divBdr>
        <w:top w:val="none" w:sz="0" w:space="0" w:color="auto"/>
        <w:left w:val="none" w:sz="0" w:space="0" w:color="auto"/>
        <w:bottom w:val="none" w:sz="0" w:space="0" w:color="auto"/>
        <w:right w:val="none" w:sz="0" w:space="0" w:color="auto"/>
      </w:divBdr>
      <w:divsChild>
        <w:div w:id="1623531696">
          <w:marLeft w:val="0"/>
          <w:marRight w:val="0"/>
          <w:marTop w:val="0"/>
          <w:marBottom w:val="240"/>
          <w:divBdr>
            <w:top w:val="none" w:sz="0" w:space="0" w:color="auto"/>
            <w:left w:val="none" w:sz="0" w:space="0" w:color="auto"/>
            <w:bottom w:val="none" w:sz="0" w:space="0" w:color="auto"/>
            <w:right w:val="none" w:sz="0" w:space="0" w:color="auto"/>
          </w:divBdr>
        </w:div>
        <w:div w:id="987130829">
          <w:marLeft w:val="0"/>
          <w:marRight w:val="0"/>
          <w:marTop w:val="0"/>
          <w:marBottom w:val="240"/>
          <w:divBdr>
            <w:top w:val="none" w:sz="0" w:space="0" w:color="auto"/>
            <w:left w:val="none" w:sz="0" w:space="0" w:color="auto"/>
            <w:bottom w:val="none" w:sz="0" w:space="0" w:color="auto"/>
            <w:right w:val="none" w:sz="0" w:space="0" w:color="auto"/>
          </w:divBdr>
        </w:div>
        <w:div w:id="948437379">
          <w:marLeft w:val="0"/>
          <w:marRight w:val="0"/>
          <w:marTop w:val="0"/>
          <w:marBottom w:val="240"/>
          <w:divBdr>
            <w:top w:val="none" w:sz="0" w:space="0" w:color="auto"/>
            <w:left w:val="none" w:sz="0" w:space="0" w:color="auto"/>
            <w:bottom w:val="none" w:sz="0" w:space="0" w:color="auto"/>
            <w:right w:val="none" w:sz="0" w:space="0" w:color="auto"/>
          </w:divBdr>
        </w:div>
        <w:div w:id="31196462">
          <w:marLeft w:val="0"/>
          <w:marRight w:val="0"/>
          <w:marTop w:val="0"/>
          <w:marBottom w:val="240"/>
          <w:divBdr>
            <w:top w:val="none" w:sz="0" w:space="0" w:color="auto"/>
            <w:left w:val="none" w:sz="0" w:space="0" w:color="auto"/>
            <w:bottom w:val="none" w:sz="0" w:space="0" w:color="auto"/>
            <w:right w:val="none" w:sz="0" w:space="0" w:color="auto"/>
          </w:divBdr>
        </w:div>
        <w:div w:id="1125348596">
          <w:marLeft w:val="0"/>
          <w:marRight w:val="0"/>
          <w:marTop w:val="0"/>
          <w:marBottom w:val="240"/>
          <w:divBdr>
            <w:top w:val="none" w:sz="0" w:space="0" w:color="auto"/>
            <w:left w:val="none" w:sz="0" w:space="0" w:color="auto"/>
            <w:bottom w:val="none" w:sz="0" w:space="0" w:color="auto"/>
            <w:right w:val="none" w:sz="0" w:space="0" w:color="auto"/>
          </w:divBdr>
        </w:div>
      </w:divsChild>
    </w:div>
    <w:div w:id="1823816932">
      <w:bodyDiv w:val="1"/>
      <w:marLeft w:val="0"/>
      <w:marRight w:val="0"/>
      <w:marTop w:val="0"/>
      <w:marBottom w:val="0"/>
      <w:divBdr>
        <w:top w:val="none" w:sz="0" w:space="0" w:color="auto"/>
        <w:left w:val="none" w:sz="0" w:space="0" w:color="auto"/>
        <w:bottom w:val="none" w:sz="0" w:space="0" w:color="auto"/>
        <w:right w:val="none" w:sz="0" w:space="0" w:color="auto"/>
      </w:divBdr>
    </w:div>
    <w:div w:id="1886718374">
      <w:bodyDiv w:val="1"/>
      <w:marLeft w:val="0"/>
      <w:marRight w:val="0"/>
      <w:marTop w:val="0"/>
      <w:marBottom w:val="0"/>
      <w:divBdr>
        <w:top w:val="none" w:sz="0" w:space="0" w:color="auto"/>
        <w:left w:val="none" w:sz="0" w:space="0" w:color="auto"/>
        <w:bottom w:val="none" w:sz="0" w:space="0" w:color="auto"/>
        <w:right w:val="none" w:sz="0" w:space="0" w:color="auto"/>
      </w:divBdr>
    </w:div>
    <w:div w:id="2035304008">
      <w:bodyDiv w:val="1"/>
      <w:marLeft w:val="0"/>
      <w:marRight w:val="0"/>
      <w:marTop w:val="0"/>
      <w:marBottom w:val="0"/>
      <w:divBdr>
        <w:top w:val="none" w:sz="0" w:space="0" w:color="auto"/>
        <w:left w:val="none" w:sz="0" w:space="0" w:color="auto"/>
        <w:bottom w:val="none" w:sz="0" w:space="0" w:color="auto"/>
        <w:right w:val="none" w:sz="0" w:space="0" w:color="auto"/>
      </w:divBdr>
    </w:div>
    <w:div w:id="2127381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plunk.com/en_us/blog/learn/cis-critical-security-controls.html" TargetMode="External"/><Relationship Id="rId5" Type="http://schemas.openxmlformats.org/officeDocument/2006/relationships/hyperlink" Target="https://www.cisecurity.org/controls/cis-controls-lis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405</Words>
  <Characters>2315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Legarreta, Juan P</dc:creator>
  <cp:keywords/>
  <dc:description/>
  <cp:lastModifiedBy>De Legarreta, Juan P</cp:lastModifiedBy>
  <cp:revision>5</cp:revision>
  <dcterms:created xsi:type="dcterms:W3CDTF">2025-04-02T01:40:00Z</dcterms:created>
  <dcterms:modified xsi:type="dcterms:W3CDTF">2025-04-02T02:43:00Z</dcterms:modified>
</cp:coreProperties>
</file>