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75189" w14:textId="24C02455" w:rsidR="0044616E" w:rsidRPr="0080590C" w:rsidRDefault="002910E0" w:rsidP="00067E0C">
      <w:pPr>
        <w:spacing w:after="0" w:line="480" w:lineRule="auto"/>
        <w:rPr>
          <w:b/>
          <w:bCs/>
        </w:rPr>
      </w:pPr>
      <w:r w:rsidRPr="0080590C">
        <w:rPr>
          <w:b/>
          <w:bCs/>
        </w:rPr>
        <w:t>Estrategias electorales diferenciadas en Meta en las elecciones internas y nacionales en 2024 en Uruguay</w:t>
      </w:r>
    </w:p>
    <w:p w14:paraId="6913EBC1" w14:textId="77777777" w:rsidR="00CE0792" w:rsidRPr="0080590C" w:rsidRDefault="00CE0792" w:rsidP="00067E0C">
      <w:pPr>
        <w:spacing w:after="0" w:line="480" w:lineRule="auto"/>
        <w:rPr>
          <w:b/>
          <w:bCs/>
        </w:rPr>
      </w:pPr>
    </w:p>
    <w:p w14:paraId="3A02F0AE" w14:textId="7C8DEF49" w:rsidR="00CE0792" w:rsidRPr="0080590C" w:rsidRDefault="00CE0792" w:rsidP="00067E0C">
      <w:pPr>
        <w:spacing w:after="0" w:line="480" w:lineRule="auto"/>
        <w:rPr>
          <w:b/>
          <w:bCs/>
        </w:rPr>
      </w:pPr>
      <w:r w:rsidRPr="0080590C">
        <w:rPr>
          <w:b/>
          <w:bCs/>
        </w:rPr>
        <w:t>Juan Pérez Martirené</w:t>
      </w:r>
    </w:p>
    <w:p w14:paraId="780B0E42" w14:textId="77777777" w:rsidR="00CE0792" w:rsidRPr="0080590C" w:rsidRDefault="00CE0792" w:rsidP="00067E0C">
      <w:pPr>
        <w:spacing w:after="0" w:line="480" w:lineRule="auto"/>
      </w:pPr>
    </w:p>
    <w:p w14:paraId="1DB5548F" w14:textId="77777777" w:rsidR="00CE0792" w:rsidRPr="0080590C" w:rsidRDefault="00CE0792" w:rsidP="00067E0C">
      <w:pPr>
        <w:pStyle w:val="Ttulo2"/>
        <w:spacing w:before="0" w:after="0" w:line="480" w:lineRule="auto"/>
        <w:rPr>
          <w:rFonts w:cs="Times New Roman"/>
          <w:szCs w:val="24"/>
        </w:rPr>
      </w:pPr>
      <w:r w:rsidRPr="0080590C">
        <w:rPr>
          <w:rFonts w:cs="Times New Roman"/>
          <w:szCs w:val="24"/>
        </w:rPr>
        <w:t>ABSTRACT:</w:t>
      </w:r>
    </w:p>
    <w:p w14:paraId="5079C711" w14:textId="77777777" w:rsidR="00CE0792" w:rsidRPr="0080590C" w:rsidRDefault="00CE0792" w:rsidP="00067E0C">
      <w:pPr>
        <w:spacing w:after="0" w:line="480" w:lineRule="auto"/>
      </w:pPr>
    </w:p>
    <w:p w14:paraId="186CF507" w14:textId="400135A1" w:rsidR="00FA62E7" w:rsidRPr="0080590C" w:rsidRDefault="00FA62E7" w:rsidP="00067E0C">
      <w:pPr>
        <w:spacing w:after="0" w:line="480" w:lineRule="auto"/>
      </w:pPr>
      <w:r w:rsidRPr="0080590C">
        <w:t xml:space="preserve">Las elecciones </w:t>
      </w:r>
      <w:r w:rsidR="00C746DA">
        <w:t>nacionales</w:t>
      </w:r>
      <w:r w:rsidR="002F40A8" w:rsidRPr="0080590C">
        <w:t xml:space="preserve"> </w:t>
      </w:r>
      <w:r w:rsidRPr="0080590C">
        <w:t>en Uruguay</w:t>
      </w:r>
      <w:r w:rsidR="00F5688B" w:rsidRPr="0080590C">
        <w:t xml:space="preserve"> se desarrollan en tres etapas: internas (voto voluntario), nacionales (voto obligatorio) y si corresponde segunda vuelta</w:t>
      </w:r>
      <w:r w:rsidR="002F40A8">
        <w:t xml:space="preserve"> presidencial</w:t>
      </w:r>
      <w:r w:rsidR="00F5688B" w:rsidRPr="0080590C">
        <w:t xml:space="preserve">. Estas etapas tienen públicos y objetivos distintos. En las internas predomina la competencia intrapartidaria y la necesidad de movilizar votantes. En las nacionales el foco es persuadir al votante mediano. En la segunda vuelta, el objetivo es alcanzar votantes que eligieron otros partidos en la primera vuelta. </w:t>
      </w:r>
      <w:r w:rsidRPr="0080590C">
        <w:t>En este trabajo se analiza</w:t>
      </w:r>
      <w:r w:rsidR="00F5688B" w:rsidRPr="0080590C">
        <w:t xml:space="preserve"> cómo varía la publicidad política en Meta a lo largo de esas etapas y qué </w:t>
      </w:r>
      <w:r w:rsidRPr="0080590C">
        <w:t xml:space="preserve">tipo de </w:t>
      </w:r>
      <w:r w:rsidR="00F5688B" w:rsidRPr="0080590C">
        <w:t xml:space="preserve">mensajes priorizan partidos y candidaturas. Para esto se analizan </w:t>
      </w:r>
      <w:r w:rsidR="00686629">
        <w:t>12.096 anuncios, 6</w:t>
      </w:r>
      <w:r w:rsidR="002F40A8">
        <w:t>.</w:t>
      </w:r>
      <w:r w:rsidR="00686629">
        <w:t xml:space="preserve">192 </w:t>
      </w:r>
      <w:r w:rsidR="00686629" w:rsidRPr="0080590C">
        <w:t xml:space="preserve">anuncios </w:t>
      </w:r>
      <w:r w:rsidR="00686629">
        <w:t>de las elecciones internas, 5</w:t>
      </w:r>
      <w:r w:rsidR="002F40A8">
        <w:t>.</w:t>
      </w:r>
      <w:r w:rsidR="00686629">
        <w:t xml:space="preserve">547 de las elecciones nacionales y 357 de la segunda vuelta </w:t>
      </w:r>
      <w:r w:rsidR="00686629" w:rsidRPr="0080590C">
        <w:t>extraídos</w:t>
      </w:r>
      <w:r w:rsidR="00F5688B" w:rsidRPr="0080590C">
        <w:t xml:space="preserve"> de la Biblioteca de Anuncios de Meta</w:t>
      </w:r>
      <w:r w:rsidR="00686629">
        <w:t>.</w:t>
      </w:r>
      <w:r w:rsidR="00F5688B" w:rsidRPr="0080590C">
        <w:t xml:space="preserve"> </w:t>
      </w:r>
      <w:r w:rsidRPr="0080590C">
        <w:t xml:space="preserve">El análisis de contenido se realiza a partir de un clasificador supervisado BERT (Bidirectional Encoder Representations from Transformers) que escala los tipos de anuncio al corpus completo. </w:t>
      </w:r>
      <w:r w:rsidR="00F5688B" w:rsidRPr="0080590C">
        <w:t>El procesamiento produce series comparables por etapa, partido y</w:t>
      </w:r>
      <w:r w:rsidRPr="0080590C">
        <w:t xml:space="preserve"> tipo</w:t>
      </w:r>
      <w:r w:rsidR="002F40A8">
        <w:t xml:space="preserve"> de anuncio</w:t>
      </w:r>
      <w:r w:rsidR="00F5688B" w:rsidRPr="0080590C">
        <w:t>.</w:t>
      </w:r>
      <w:r w:rsidRPr="0080590C">
        <w:t xml:space="preserve"> </w:t>
      </w:r>
      <w:r w:rsidR="003B629E" w:rsidRPr="003B629E">
        <w:t xml:space="preserve">Los resultados muestran que </w:t>
      </w:r>
      <w:r w:rsidR="003B629E">
        <w:t>los tipos de anuncios se mantuvieron</w:t>
      </w:r>
      <w:r w:rsidR="003B629E" w:rsidRPr="003B629E">
        <w:t xml:space="preserve"> estable a lo largo del ciclo electoral, con un claro predominio de anuncios de promoción, bajo uso de ataques y ausencia de variaciones significativas entre etapas, partidos o territorios en la distribución de los tipos de contenido.</w:t>
      </w:r>
    </w:p>
    <w:p w14:paraId="342044EB" w14:textId="77777777" w:rsidR="00F5688B" w:rsidRPr="0080590C" w:rsidRDefault="00F5688B" w:rsidP="00067E0C">
      <w:pPr>
        <w:spacing w:after="0" w:line="480" w:lineRule="auto"/>
      </w:pPr>
      <w:r w:rsidRPr="0080590C">
        <w:br w:type="page"/>
      </w:r>
    </w:p>
    <w:p w14:paraId="66E0A229" w14:textId="3704C2AE" w:rsidR="00BA5408" w:rsidRPr="0080590C" w:rsidRDefault="00F5688B" w:rsidP="00067E0C">
      <w:pPr>
        <w:pStyle w:val="Ttulo2"/>
        <w:spacing w:before="0" w:after="0" w:line="480" w:lineRule="auto"/>
        <w:rPr>
          <w:rFonts w:cs="Times New Roman"/>
          <w:szCs w:val="24"/>
        </w:rPr>
      </w:pPr>
      <w:r w:rsidRPr="0080590C">
        <w:rPr>
          <w:rFonts w:cs="Times New Roman"/>
          <w:szCs w:val="24"/>
        </w:rPr>
        <w:lastRenderedPageBreak/>
        <w:t>Introducción</w:t>
      </w:r>
    </w:p>
    <w:p w14:paraId="4FFECC40" w14:textId="77777777" w:rsidR="0080590C" w:rsidRDefault="0080590C" w:rsidP="00067E0C">
      <w:pPr>
        <w:spacing w:after="0" w:line="480" w:lineRule="auto"/>
      </w:pPr>
    </w:p>
    <w:p w14:paraId="2E83E9BD" w14:textId="3D96D269" w:rsidR="00422344" w:rsidRPr="0080590C" w:rsidRDefault="00267A24" w:rsidP="00067E0C">
      <w:pPr>
        <w:spacing w:after="0" w:line="480" w:lineRule="auto"/>
        <w:ind w:firstLine="708"/>
      </w:pPr>
      <w:r w:rsidRPr="00FD2F98">
        <w:t>Las campañas ya no comienzan con actos partidarios ni con conferencias de prensa</w:t>
      </w:r>
      <w:r>
        <w:t>,</w:t>
      </w:r>
      <w:r w:rsidRPr="00FD2F98">
        <w:t xml:space="preserve"> comienzan con un anuncio que aparece en la pantalla de</w:t>
      </w:r>
      <w:r w:rsidR="009B118F">
        <w:t xml:space="preserve"> los dispositivos del electorado</w:t>
      </w:r>
      <w:r>
        <w:t xml:space="preserve">. </w:t>
      </w:r>
      <w:r w:rsidR="00FD2F98" w:rsidRPr="00FD2F98">
        <w:t>A diferencia de los medios tradicionales, la publicidad en redes sociales descentraliza la comunicación y democratiza la posibilidad de alcanzar audiencias diversas</w:t>
      </w:r>
      <w:r w:rsidR="00A2161C">
        <w:t xml:space="preserve">. </w:t>
      </w:r>
      <w:r w:rsidRPr="00267A24">
        <w:t xml:space="preserve">En este contexto, analizar cómo partidos y candidaturas utilizan la publicidad en Meta permite evaluar hasta qué punto las estrategias digitales siguen las lógicas institucionales del sistema electoral uruguayo y cómo las exigencias del calendario político reconfiguran la comunicación </w:t>
      </w:r>
      <w:r>
        <w:t>en</w:t>
      </w:r>
      <w:r w:rsidRPr="00267A24">
        <w:t xml:space="preserve"> campaña.</w:t>
      </w:r>
    </w:p>
    <w:p w14:paraId="0B9CD320" w14:textId="6FBCCACF" w:rsidR="00FA62E7" w:rsidRPr="0080590C" w:rsidRDefault="00124B6F" w:rsidP="00067E0C">
      <w:pPr>
        <w:spacing w:after="0" w:line="480" w:lineRule="auto"/>
        <w:ind w:firstLine="708"/>
      </w:pPr>
      <w:r w:rsidRPr="0080590C">
        <w:t xml:space="preserve">La publicidad política en redes sociales es un componente central de las campañas electorales, influye en la competencia política y en la calidad del debate democrático </w:t>
      </w:r>
      <w:r w:rsidRPr="0080590C">
        <w:fldChar w:fldCharType="begin"/>
      </w:r>
      <w:r w:rsidRPr="0080590C">
        <w:instrText xml:space="preserve"> ADDIN ZOTERO_ITEM CSL_CITATION {"citationID":"NfWFJjHK","properties":{"formattedCitation":"(Stromer-Galley 2014)","plainCitation":"(Stromer-Galley 2014)","dontUpdate":true,"noteIndex":0},"citationItems":[{"id":1259,"uris":["http://zotero.org/users/9929100/items/3RT8DMG8"],"itemData":{"id":1259,"type":"book","collection-title":"Oxford studies in digital politics","event-place":"New York, NY","ISBN":"978-0-19-935747-5","language":"eng","number-of-pages":"1","publisher":"Oxford University Press","publisher-place":"New York, NY","source":"K10plus ISBN","title":"Presidential campaigning in the Internet age","author":[{"family":"Stromer-Galley","given":"Jennifer"}],"issued":{"date-parts":[["2014"]]}}}],"schema":"https://github.com/citation-style-language/schema/raw/master/csl-citation.json"} </w:instrText>
      </w:r>
      <w:r w:rsidRPr="0080590C">
        <w:fldChar w:fldCharType="separate"/>
      </w:r>
      <w:r w:rsidRPr="0080590C">
        <w:t>(Enli y Skogerbø 2013; Stromer-Galley 2014)</w:t>
      </w:r>
      <w:r w:rsidRPr="0080590C">
        <w:fldChar w:fldCharType="end"/>
      </w:r>
      <w:r w:rsidRPr="0080590C">
        <w:t>. A diferencia de los medios tradicionales, las plataformas como Facebook e Instagram ofrecen un acceso más flexible y de menor costo, lo que permite a campañas de pequeño y mediano porte aspirar a alcanzar audiencias que antes</w:t>
      </w:r>
      <w:r w:rsidR="002F40A8">
        <w:t xml:space="preserve"> le</w:t>
      </w:r>
      <w:r w:rsidRPr="0080590C">
        <w:t xml:space="preserve"> resultaban inalcanzables </w:t>
      </w:r>
      <w:hyperlink r:id="rId8">
        <w:r w:rsidRPr="0080590C">
          <w:t xml:space="preserve">(Gibson et al. 2025; </w:t>
        </w:r>
        <w:proofErr w:type="spellStart"/>
        <w:r w:rsidRPr="0080590C">
          <w:t>Fowler</w:t>
        </w:r>
        <w:proofErr w:type="spellEnd"/>
        <w:r w:rsidRPr="0080590C">
          <w:t xml:space="preserve"> et al. 2021)</w:t>
        </w:r>
      </w:hyperlink>
      <w:r w:rsidRPr="0080590C">
        <w:t xml:space="preserve">. </w:t>
      </w:r>
    </w:p>
    <w:p w14:paraId="643FF2C0" w14:textId="2EC75CE2" w:rsidR="00124B6F" w:rsidRPr="0080590C" w:rsidRDefault="00124B6F" w:rsidP="00067E0C">
      <w:pPr>
        <w:spacing w:after="0" w:line="480" w:lineRule="auto"/>
        <w:ind w:firstLine="708"/>
      </w:pPr>
      <w:r w:rsidRPr="0080590C">
        <w:t>Estas plataformas ofrecen a su vez la posibilidad de segmentar audiencias</w:t>
      </w:r>
      <w:r w:rsidR="00FA62E7" w:rsidRPr="0080590C">
        <w:t xml:space="preserve"> a través de estrategias de </w:t>
      </w:r>
      <w:r w:rsidRPr="0080590C">
        <w:rPr>
          <w:i/>
          <w:iCs/>
        </w:rPr>
        <w:t>microtargeting</w:t>
      </w:r>
      <w:r w:rsidRPr="0080590C">
        <w:t xml:space="preserve"> (Zuiderveen Borgesius et al. 2018) </w:t>
      </w:r>
      <w:r w:rsidR="00FA62E7" w:rsidRPr="0080590C">
        <w:t xml:space="preserve">que </w:t>
      </w:r>
      <w:r w:rsidRPr="0080590C">
        <w:t>combina</w:t>
      </w:r>
      <w:r w:rsidR="00FA62E7" w:rsidRPr="0080590C">
        <w:t>n</w:t>
      </w:r>
      <w:r w:rsidRPr="0080590C">
        <w:t xml:space="preserve"> datos demográficos, de comportamientos e intereses para identificar </w:t>
      </w:r>
      <w:r w:rsidR="002F40A8">
        <w:t>públicos</w:t>
      </w:r>
      <w:r w:rsidRPr="0080590C">
        <w:t xml:space="preserve"> específic</w:t>
      </w:r>
      <w:r w:rsidR="002F40A8">
        <w:t>o</w:t>
      </w:r>
      <w:r w:rsidRPr="0080590C">
        <w:t xml:space="preserve">s y optimizar la exposición del mensaje </w:t>
      </w:r>
      <w:hyperlink r:id="rId9">
        <w:r w:rsidRPr="0080590C">
          <w:t>(Bon et al. 2024;</w:t>
        </w:r>
        <w:r w:rsidR="00C00336">
          <w:t xml:space="preserve"> </w:t>
        </w:r>
        <w:r w:rsidR="00C00336">
          <w:fldChar w:fldCharType="begin"/>
        </w:r>
        <w:r w:rsidR="00C74782">
          <w:instrText xml:space="preserve"> ADDIN ZOTERO_ITEM CSL_CITATION {"citationID":"bjKoVC8D","properties":{"formattedCitation":"(Kreiss y Mcgregor 2018)","plainCitation":"(Kreiss y Mcgregor 2018)","dontUpdate":true,"noteIndex":0},"citationItems":[{"id":2122,"uris":["http://zotero.org/users/9929100/items/E74WD9IF"],"itemData":{"id":2122,"type":"article-journal","abstract":"This article offers the first analysis of the role that technology companies, specifically Facebook, Twitter, Microsoft, and Google, play in shaping the political communication of electoral campaigns in the United States. We offer an empirical analysis of the work technology firms do around electoral politics through interviews with staffers at these firms and digital and social media directors of 2016 U.S. presidential primary and general election campaigns, in addition to field observations at the 2016 Democratic National Convention. We find that technology firms are motivated to work in the political space for marketing, advertising revenue, and relationship-building in the service of lobbying efforts. To facilitate this, these firms have developed organizational structures and staffing patterns that accord with the partisan nature of American politics. Furthermore, Facebook, Twitter, and Google go beyond promoting their services and facilitating digital advertising buys, actively shaping campaign communication through their close collaboration with political staffers. We show how representatives at these firms serve as quasi-digital consultants to campaigns, shaping digital strategy, content, and execution. Given this, we argue that political communication scholars need to consider social media firms as more active agents in political processes than previously appreciated in the literature.","container-title":"Political Communication","DOI":"10.1080/10584609.2017.1364814","ISSN":"1058-4609","issue":"2","note":"publisher: Routledge\n_eprint: https://doi.org/10.1080/10584609.2017.1364814","page":"155-177","source":"Taylor and Francis+NEJM","title":"Technology Firms Shape Political Communication: The Work of Microsoft, Facebook, Twitter, and Google With Campaigns During the 2016 U.S. Presidential Cycle","title-short":"Technology Firms Shape Political Communication","volume":"35","author":[{"family":"Kreiss","given":"Daniel"},{"family":"Mcgregor","given":"Shannon C."}],"issued":{"date-parts":[["2018",4,3]]}}}],"schema":"https://github.com/citation-style-language/schema/raw/master/csl-citation.json"} </w:instrText>
        </w:r>
        <w:r w:rsidR="00C00336">
          <w:fldChar w:fldCharType="separate"/>
        </w:r>
        <w:r w:rsidR="00C00336" w:rsidRPr="00C00336">
          <w:t>Kreiss y Mcgregor 2018</w:t>
        </w:r>
        <w:r w:rsidR="00C00336">
          <w:fldChar w:fldCharType="end"/>
        </w:r>
        <w:r w:rsidRPr="0080590C">
          <w:t xml:space="preserve">; </w:t>
        </w:r>
        <w:proofErr w:type="spellStart"/>
        <w:r w:rsidRPr="0080590C">
          <w:t>Votta</w:t>
        </w:r>
        <w:proofErr w:type="spellEnd"/>
        <w:r w:rsidRPr="0080590C">
          <w:t xml:space="preserve"> et al. 2025)</w:t>
        </w:r>
      </w:hyperlink>
      <w:r w:rsidRPr="0080590C">
        <w:t xml:space="preserve">. </w:t>
      </w:r>
      <w:r w:rsidR="00FA62E7" w:rsidRPr="0080590C">
        <w:t xml:space="preserve">Las candidaturas </w:t>
      </w:r>
      <w:r w:rsidRPr="0080590C">
        <w:t>pueden adaptar el contenido a perfiles de electores</w:t>
      </w:r>
      <w:r w:rsidR="00FA62E7" w:rsidRPr="0080590C">
        <w:t xml:space="preserve"> potenciales</w:t>
      </w:r>
      <w:r w:rsidRPr="0080590C">
        <w:t xml:space="preserve"> </w:t>
      </w:r>
      <w:r w:rsidR="00422344" w:rsidRPr="0080590C">
        <w:t xml:space="preserve">para maximizar </w:t>
      </w:r>
      <w:r w:rsidRPr="0080590C">
        <w:t xml:space="preserve">su potencial persuasivo y de movilización. Estas tecnologías permiten modular los tipos de contenidos de las campañas en función de la etapa electoral, el tipo de audiencia y sus objetivos. No obstante, la falta de </w:t>
      </w:r>
      <w:r w:rsidRPr="0080590C">
        <w:lastRenderedPageBreak/>
        <w:t xml:space="preserve">transparencia y la posibilidad de desarrollar malas prácticas, como la de excluir deliberadamente a segmentos del electorado de ciertos contenidos, promover su desmovilización </w:t>
      </w:r>
      <w:hyperlink r:id="rId10">
        <w:r w:rsidRPr="0080590C">
          <w:t>(</w:t>
        </w:r>
        <w:proofErr w:type="spellStart"/>
        <w:r w:rsidRPr="0080590C">
          <w:t>Dobber</w:t>
        </w:r>
        <w:proofErr w:type="spellEnd"/>
        <w:r w:rsidRPr="0080590C">
          <w:t xml:space="preserve"> y de </w:t>
        </w:r>
        <w:proofErr w:type="spellStart"/>
        <w:r w:rsidRPr="0080590C">
          <w:t>Vreese</w:t>
        </w:r>
        <w:proofErr w:type="spellEnd"/>
        <w:r w:rsidRPr="0080590C">
          <w:t xml:space="preserve"> 2022)</w:t>
        </w:r>
      </w:hyperlink>
      <w:r w:rsidRPr="0080590C">
        <w:t xml:space="preserve"> o distribuir noticias falsas o desinformación </w:t>
      </w:r>
      <w:r w:rsidRPr="0080590C">
        <w:fldChar w:fldCharType="begin"/>
      </w:r>
      <w:r w:rsidRPr="0080590C">
        <w:instrText xml:space="preserve"> ADDIN ZOTERO_ITEM CSL_CITATION {"citationID":"q9APlEPU","properties":{"formattedCitation":"(Guess et\\uc0\\u160{}al. 2019; Au et\\uc0\\u160{}al. 2022)","plainCitation":"(Guess et al. 2019; Au et al. 2022)","dontUpdate":true,"noteIndex":0},"citationItems":[{"id":1276,"uris":["http://zotero.org/users/9929100/items/25E4MJ8D"],"itemData":{"id":1276,"type":"article-journal","abstract":"Fake news sharing in 2016 was rare but significantly more common among older Americans.\n          , \n            So-called “fake news” has renewed concerns about the prevalence and effects of misinformation in political campaigns. Given the potential for widespread dissemination of this material, we examine the individual-level characteristics associated with sharing false articles during the 2016 U.S. presidential campaign. To do so, we uniquely link an original survey with respondents’ sharing activity as recorded in Facebook profile data. First and foremost, we find that sharing this content was a relatively rare activity. Conservatives were more likely to share articles from fake news domains, which in 2016 were largely pro-Trump in orientation, than liberals or moderates. We also find a strong age effect, which persists after controlling for partisanship and ideology: On average, users over 65 shared nearly seven times as many articles from fake news domains as the youngest age group.","container-title":"Science Advances","DOI":"10.1126/sciadv.aau4586","ISSN":"2375-2548","issue":"1","journalAbbreviation":"Sci. Adv.","language":"en","page":"eaau4586","source":"DOI.org (Crossref)","title":"Less than you think: Prevalence and predictors of fake news dissemination on Facebook","title-short":"Less than you think","volume":"5","author":[{"family":"Guess","given":"Andrew"},{"family":"Nagler","given":"Jonathan"},{"family":"Tucker","given":"Joshua"}],"issued":{"date-parts":[["2019",1,4]]}}},{"id":1270,"uris":["http://zotero.org/users/9929100/items/A6Y877NQ"],"itemData":{"id":1270,"type":"article-journal","container-title":"Information Systems Frontiers","DOI":"10.1007/s10796-021-10133-9","ISSN":"1387-3326, 1572-9419","issue":"4","journalAbbreviation":"Inf Syst Front","language":"en","page":"1331-1354","source":"DOI.org (Crossref)","title":"The Role of Online Misinformation and Fake News in Ideological Polarization: Barriers, Catalysts, and Implications","title-short":"The Role of Online Misinformation and Fake News in Ideological Polarization","volume":"24","author":[{"family":"Au","given":"Cheuk Hang"},{"family":"Ho","given":"Kevin K. W."},{"family":"Chiu","given":"Dickson K.W."}],"issued":{"date-parts":[["2022",8]]}}}],"schema":"https://github.com/citation-style-language/schema/raw/master/csl-citation.json"} </w:instrText>
      </w:r>
      <w:r w:rsidRPr="0080590C">
        <w:fldChar w:fldCharType="separate"/>
      </w:r>
      <w:r w:rsidRPr="0080590C">
        <w:t>(Au et al. 2022)</w:t>
      </w:r>
      <w:r w:rsidRPr="0080590C">
        <w:fldChar w:fldCharType="end"/>
      </w:r>
      <w:r w:rsidRPr="0080590C">
        <w:t>, plantean desafíos</w:t>
      </w:r>
      <w:r w:rsidR="00422344" w:rsidRPr="0080590C">
        <w:t xml:space="preserve"> para el funcionamiento democrático</w:t>
      </w:r>
      <w:r w:rsidRPr="0080590C">
        <w:t xml:space="preserve">. </w:t>
      </w:r>
    </w:p>
    <w:p w14:paraId="48240880" w14:textId="59E63808" w:rsidR="008F1BA8" w:rsidRPr="0080590C" w:rsidRDefault="00BA5408" w:rsidP="00067E0C">
      <w:pPr>
        <w:spacing w:after="0" w:line="480" w:lineRule="auto"/>
        <w:ind w:firstLine="708"/>
      </w:pPr>
      <w:r w:rsidRPr="0080590C">
        <w:t xml:space="preserve">El estudio de la publicidad en </w:t>
      </w:r>
      <w:r w:rsidR="00AE2EAA" w:rsidRPr="0080590C">
        <w:t xml:space="preserve">las plataformas de </w:t>
      </w:r>
      <w:r w:rsidRPr="0080590C">
        <w:t>Meta que realizan partidos y candidatos resulta pertinente para comprender cómo las características institucionales del ciclo electoral uruguayo influyen sobre las campañas y en especial en el uso de las herramientas digitales. Este análisis permite identificar patrones de movilización y persuasión en los anuncios dependiendo de la etapa electoral y evaluar las oportunidades y riesgos que generan las plataformas para la calidad democrática. En un contexto dónde la segmentación algorítmica redefine las audiencias y la competencia, se vuelve crucial la generación de evidencia sobre las campañas en estas plataformas para el debate sobre la regulación, transparencia e impacto</w:t>
      </w:r>
      <w:r w:rsidR="00422344" w:rsidRPr="0080590C">
        <w:t xml:space="preserve"> político</w:t>
      </w:r>
      <w:r w:rsidRPr="0080590C">
        <w:t xml:space="preserve"> de las campañas digitales.</w:t>
      </w:r>
      <w:r w:rsidR="008F1BA8" w:rsidRPr="0080590C">
        <w:t xml:space="preserve"> </w:t>
      </w:r>
    </w:p>
    <w:p w14:paraId="0E27B0D2" w14:textId="5D82F3B0" w:rsidR="00AE2EAA" w:rsidRPr="0080590C" w:rsidRDefault="008F1BA8" w:rsidP="00067E0C">
      <w:pPr>
        <w:spacing w:after="0" w:line="480" w:lineRule="auto"/>
        <w:ind w:firstLine="708"/>
      </w:pPr>
      <w:r w:rsidRPr="0080590C">
        <w:t xml:space="preserve">Este </w:t>
      </w:r>
      <w:r w:rsidR="002F40A8">
        <w:t>trabajo</w:t>
      </w:r>
      <w:r w:rsidR="002F40A8" w:rsidRPr="0080590C">
        <w:t xml:space="preserve"> </w:t>
      </w:r>
      <w:r w:rsidRPr="0080590C">
        <w:t xml:space="preserve">utiliza técnicas de análisis </w:t>
      </w:r>
      <w:r w:rsidRPr="0080590C">
        <w:rPr>
          <w:i/>
          <w:iCs/>
        </w:rPr>
        <w:t>text as data</w:t>
      </w:r>
      <w:r w:rsidRPr="0080590C">
        <w:t xml:space="preserve"> (Grimmer et al. 2022) para la clasificación </w:t>
      </w:r>
      <w:r w:rsidR="00AE2EAA" w:rsidRPr="0080590C">
        <w:t xml:space="preserve">de </w:t>
      </w:r>
      <w:r w:rsidR="002C78E2">
        <w:t>12.096</w:t>
      </w:r>
      <w:r w:rsidR="00AE2EAA" w:rsidRPr="0080590C">
        <w:t xml:space="preserve"> anuncios extraídos de la Biblioteca de Anuncios de Meta</w:t>
      </w:r>
      <w:r w:rsidRPr="0080590C">
        <w:t xml:space="preserve">. La codificación de anuncios se realiza a través de un modelo BERT (Bidirectional Encoder Representations from Transformers) (Devlin et al. 2019) pre-entrenado manualmente con datos contextuales para capturar relaciones entre documentos para tareas de clasificación de texto (Kawintiranon y </w:t>
      </w:r>
      <w:r w:rsidRPr="00CC790C">
        <w:t>Singh 2022).</w:t>
      </w:r>
      <w:r w:rsidR="00C942DB">
        <w:t xml:space="preserve"> Se escoge el modelo ROUBERTa desarrollado por </w:t>
      </w:r>
      <w:r w:rsidR="00C942DB">
        <w:fldChar w:fldCharType="begin"/>
      </w:r>
      <w:r w:rsidR="00C942DB">
        <w:instrText xml:space="preserve"> ADDIN ZOTERO_ITEM CSL_CITATION {"citationID":"GyRBCosP","properties":{"formattedCitation":"(Filevich et\\uc0\\u160{}al. 2024)","plainCitation":"(Filevich et al. 2024)","noteIndex":0},"citationItems":[{"id":1770,"uris":["http://zotero.org/users/9929100/items/H82J95HM"],"itemData":{"id":1770,"type":"paper-conference","abstract":"This paper presents a language model trained from scratch exclusively on a brand new corpus consisting of about 6 GiB of Uruguayan newspaper text. We trained the model for 30 days on a single Nvidia P100 using the RoBERTa-base architecture but with considerably fewer parameters than other standard RoBERTa models. We evaluated the model on two NLP tasks and found that it outperforms BETO, the widely used Spanish BERT pre-trained model. We also compared our model on the masked-word prediction task with two popular multilingual BERT-based models, Multilingual BERT and XLM-RoBERTa, obtaining outstanding results on sentences from the Uruguayan press domain. Our experiments show that training a language model on a domain-specific corpus can significantly improve performance even when the model is smaller and was trained with significantly less data than more standard pre-trained models.","container-title":"Proceedings of the Second International Workshop Towards Digital Language Equality (TDLE): Focusing on Sustainability @ LREC-COLING 2024","event-place":"Torino, Italia","page":"53–60","publisher":"ELRA and ICCL","publisher-place":"Torino, Italia","source":"ACLWeb","title":"A Language Model Trained on Uruguayan Spanish News Text","URL":"https://aclanthology.org/2024.tdle-1.5/","author":[{"family":"Filevich","given":"Juan Pablo"},{"family":"Marco","given":"Gonzalo"},{"family":"Castro","given":"Santiago"},{"family":"Chiruzzo","given":"Luis"},{"family":"Rosá","given":"Aiala"}],"editor":[{"family":"Gaspari","given":"Federico"},{"family":"Moorkens","given":"Joss"},{"family":"Aldabe","given":"Itziar"},{"family":"Farwell","given":"Aritz"},{"family":"Altuna","given":"Begona"},{"family":"Piperidis","given":"Stelios"},{"family":"Rehm","given":"Georg"},{"family":"Rigau","given":"German"}],"accessed":{"date-parts":[["2025",10,13]]},"issued":{"date-parts":[["2024",5]]}}}],"schema":"https://github.com/citation-style-language/schema/raw/master/csl-citation.json"} </w:instrText>
      </w:r>
      <w:r w:rsidR="00C942DB">
        <w:fldChar w:fldCharType="separate"/>
      </w:r>
      <w:r w:rsidR="00C942DB" w:rsidRPr="00C942DB">
        <w:rPr>
          <w:kern w:val="0"/>
        </w:rPr>
        <w:t>Filevich et al. (2024)</w:t>
      </w:r>
      <w:r w:rsidR="00C942DB">
        <w:fldChar w:fldCharType="end"/>
      </w:r>
      <w:r w:rsidR="0080590C" w:rsidRPr="00CC790C">
        <w:t xml:space="preserve"> </w:t>
      </w:r>
      <w:r w:rsidR="00F207FF" w:rsidRPr="00F207FF">
        <w:t>entrenado con textos de prensa uruguaya y desarrollado específicamente para manejar documentos que contengan expresiones, jerga y nombres de la coyuntura local</w:t>
      </w:r>
      <w:r w:rsidR="00C942DB">
        <w:t xml:space="preserve">. </w:t>
      </w:r>
      <w:r w:rsidR="00AE2EAA" w:rsidRPr="00CC790C">
        <w:t>El análisis se centra en los distintos tipos de mensajes de campaña utilizada por los actores políticos a lo largo de las diferentes etapas de las elecciones</w:t>
      </w:r>
      <w:r w:rsidR="002F40A8" w:rsidRPr="00CC790C">
        <w:t xml:space="preserve"> nacionales</w:t>
      </w:r>
      <w:r w:rsidR="00AE2EAA" w:rsidRPr="00CC790C">
        <w:t xml:space="preserve">. </w:t>
      </w:r>
      <w:r w:rsidR="00CC790C">
        <w:t xml:space="preserve">Los resultados indican </w:t>
      </w:r>
      <w:r w:rsidR="00514C84" w:rsidRPr="00CC790C">
        <w:t xml:space="preserve">que los tipos de anuncios se mantienen estables </w:t>
      </w:r>
      <w:r w:rsidR="00CC790C" w:rsidRPr="00CC790C">
        <w:t>a lo largo de la campaña, sin grandes</w:t>
      </w:r>
      <w:r w:rsidR="00CC790C">
        <w:t xml:space="preserve"> variaciones entre las distintas </w:t>
      </w:r>
      <w:r w:rsidR="00CC790C">
        <w:lastRenderedPageBreak/>
        <w:t>etapas, partidos políticos o tipos de anunciantes. Lo que sugiere que</w:t>
      </w:r>
      <w:r w:rsidR="00514C84">
        <w:t xml:space="preserve"> las reglas y objetivos de las </w:t>
      </w:r>
      <w:r w:rsidR="00CC790C">
        <w:t xml:space="preserve">etapas no influyen en los tipos de anuncios de las </w:t>
      </w:r>
      <w:r w:rsidR="00514C84">
        <w:t>candidaturas</w:t>
      </w:r>
      <w:r w:rsidR="00CC790C">
        <w:t>.</w:t>
      </w:r>
    </w:p>
    <w:p w14:paraId="408D3A60" w14:textId="67E05E29" w:rsidR="0080590C" w:rsidRPr="0080590C" w:rsidRDefault="000B79D6" w:rsidP="00067E0C">
      <w:pPr>
        <w:spacing w:after="0" w:line="480" w:lineRule="auto"/>
        <w:ind w:firstLine="708"/>
      </w:pPr>
      <w:r>
        <w:t xml:space="preserve">En el apartado siguiente se </w:t>
      </w:r>
      <w:r w:rsidR="0080590C" w:rsidRPr="0080590C">
        <w:t>desarrolla una discusión teórica sobre la publicidad política en la plataforma Meta</w:t>
      </w:r>
      <w:r>
        <w:t xml:space="preserve"> y sus diferentes usos en función de diferentes etapas de campaña</w:t>
      </w:r>
      <w:r w:rsidR="0080590C" w:rsidRPr="0080590C">
        <w:t>. En segundo lugar,</w:t>
      </w:r>
      <w:r w:rsidRPr="000B79D6">
        <w:t xml:space="preserve"> </w:t>
      </w:r>
      <w:r w:rsidRPr="0080590C">
        <w:t xml:space="preserve">se </w:t>
      </w:r>
      <w:r>
        <w:t xml:space="preserve">describen las etapas </w:t>
      </w:r>
      <w:r w:rsidRPr="0080590C">
        <w:t xml:space="preserve">del </w:t>
      </w:r>
      <w:r>
        <w:t xml:space="preserve">ciclo </w:t>
      </w:r>
      <w:r w:rsidRPr="0080590C">
        <w:t>electoral uruguayo.</w:t>
      </w:r>
      <w:r w:rsidR="0080590C" w:rsidRPr="0080590C">
        <w:t xml:space="preserve"> En tercer lugar, </w:t>
      </w:r>
      <w:r w:rsidRPr="0080590C">
        <w:t>se describen la metodología y los datos utilizados en el análisis.</w:t>
      </w:r>
      <w:r>
        <w:t xml:space="preserve"> </w:t>
      </w:r>
      <w:r w:rsidR="0080590C" w:rsidRPr="0080590C">
        <w:t xml:space="preserve">En cuarto lugar, se presentan las tipologías empleadas para clasificar los anuncios y las hipótesis descriptivas acerca de la variación de tipos a lo largo </w:t>
      </w:r>
      <w:r>
        <w:t xml:space="preserve">de las diferentes etapas </w:t>
      </w:r>
      <w:r w:rsidR="0080590C" w:rsidRPr="0080590C">
        <w:t>del ciclo electoral. Finalmente, se exponen los principales resultados y se formulan las conclusiones del trabajo.</w:t>
      </w:r>
    </w:p>
    <w:p w14:paraId="051CE332" w14:textId="77777777" w:rsidR="0080590C" w:rsidRPr="0080590C" w:rsidRDefault="0080590C" w:rsidP="00067E0C">
      <w:pPr>
        <w:spacing w:after="0" w:line="480" w:lineRule="auto"/>
      </w:pPr>
    </w:p>
    <w:p w14:paraId="6ACDA9DB" w14:textId="1A2C5CEC" w:rsidR="0080590C" w:rsidRPr="0080590C" w:rsidRDefault="0080590C" w:rsidP="00067E0C">
      <w:pPr>
        <w:pStyle w:val="Ttulo2"/>
        <w:spacing w:before="0" w:after="0" w:line="480" w:lineRule="auto"/>
        <w:rPr>
          <w:rFonts w:cs="Times New Roman"/>
          <w:szCs w:val="24"/>
        </w:rPr>
      </w:pPr>
      <w:r w:rsidRPr="0080590C">
        <w:rPr>
          <w:rFonts w:cs="Times New Roman"/>
          <w:szCs w:val="24"/>
        </w:rPr>
        <w:t>La publicidad electoral en redes sociales</w:t>
      </w:r>
      <w:r w:rsidR="00BB0CB4">
        <w:rPr>
          <w:rFonts w:cs="Times New Roman"/>
          <w:szCs w:val="24"/>
        </w:rPr>
        <w:t xml:space="preserve"> </w:t>
      </w:r>
    </w:p>
    <w:p w14:paraId="39784F98" w14:textId="77777777" w:rsidR="0080590C" w:rsidRPr="0080590C" w:rsidRDefault="0080590C" w:rsidP="00067E0C">
      <w:pPr>
        <w:spacing w:after="0" w:line="480" w:lineRule="auto"/>
      </w:pPr>
    </w:p>
    <w:p w14:paraId="30B43FD4" w14:textId="22657039" w:rsidR="00476CA0" w:rsidRPr="00907E44" w:rsidRDefault="00476CA0" w:rsidP="00067E0C">
      <w:pPr>
        <w:spacing w:after="0" w:line="480" w:lineRule="auto"/>
        <w:ind w:firstLine="708"/>
      </w:pPr>
      <w:r w:rsidRPr="0080590C">
        <w:t xml:space="preserve">Existe una literatura reciente para </w:t>
      </w:r>
      <w:r w:rsidR="0080590C">
        <w:t xml:space="preserve">Estados Unidos </w:t>
      </w:r>
      <w:r w:rsidRPr="0080590C">
        <w:t xml:space="preserve">y Europa sobre publicidad electoral en redes sociales (Baviera et al. 2022; Dobber y de Vreese 2022; Dommett y Power 2019; Hager 2019; Jackson et al. 2017; Votta et al. 2025; Sosnovik et al. 2023; entre otros). En el contexto latinoamericano esta literatura está menos desarrollada. Piñeiro-Rodríguez et al. (2024) realizan una revisión de la incorporación de nuevas tecnologías de la comunicación a las estructuras partidarias en diversos países de la región. Sarasqueta et al. (2025) describen las publicaciones de candidatos presidenciales de siete países de la región. Negri et al. (2024) analizan la campaña en Meta para las elecciones generales de Argentina en 2023. Luna et al. (2022) comparan publicaciones en Facebook de candidatos en las elecciones legislativas de 2017 en Chile con sus campañas en terreno para comprender sus estrategias electorales segmentadas. De-Lima-Santos et al. (2024) investigan las estrategias de comunicación visual empleadas </w:t>
      </w:r>
      <w:r w:rsidRPr="0080590C">
        <w:lastRenderedPageBreak/>
        <w:t xml:space="preserve">en publicaciones en Instagram de 19 candidatos presidenciales brasileños en las elecciones nacionales de 2018 y 2022. Bogliaccini et al. (2019) estudian el comportamiento de las cuentas oficiales de los candidatos a la presidencia en las elecciones nacionales de Uruguay en 2019 en la red social Twitter. </w:t>
      </w:r>
      <w:r w:rsidR="00907E44">
        <w:t>Los</w:t>
      </w:r>
      <w:r w:rsidRPr="0080590C">
        <w:t xml:space="preserve"> análisis de casos </w:t>
      </w:r>
      <w:r w:rsidR="00907E44" w:rsidRPr="0080590C">
        <w:t>latinoamericanos</w:t>
      </w:r>
      <w:r w:rsidRPr="0080590C">
        <w:t xml:space="preserve"> muestran </w:t>
      </w:r>
      <w:r w:rsidR="00907E44">
        <w:t>similitudes y diferencias en el</w:t>
      </w:r>
      <w:r w:rsidRPr="0080590C">
        <w:t xml:space="preserve"> uso de redes sociales en campañas </w:t>
      </w:r>
      <w:r w:rsidR="00907E44">
        <w:t xml:space="preserve">en la región y en </w:t>
      </w:r>
      <w:r w:rsidRPr="0080590C">
        <w:t>Europa y</w:t>
      </w:r>
      <w:r w:rsidR="00907E44">
        <w:t xml:space="preserve"> Estados Unidos.</w:t>
      </w:r>
      <w:r w:rsidRPr="0080590C">
        <w:t xml:space="preserve"> </w:t>
      </w:r>
    </w:p>
    <w:p w14:paraId="72B88FCD" w14:textId="7E972B28" w:rsidR="00831D35" w:rsidRPr="0080590C" w:rsidRDefault="00D70976" w:rsidP="00067E0C">
      <w:pPr>
        <w:spacing w:after="0" w:line="480" w:lineRule="auto"/>
        <w:ind w:firstLine="708"/>
      </w:pPr>
      <w:r w:rsidRPr="0080590C">
        <w:t>El crecimiento sostenido de internet a nivel global</w:t>
      </w:r>
      <w:r w:rsidR="00F1570B">
        <w:t>,</w:t>
      </w:r>
      <w:r w:rsidRPr="0080590C">
        <w:t xml:space="preserve"> </w:t>
      </w:r>
      <w:r w:rsidR="00907E44">
        <w:t>hasta transformarse en una herramienta mundana</w:t>
      </w:r>
      <w:r w:rsidR="0084175D">
        <w:t xml:space="preserve"> </w:t>
      </w:r>
      <w:r w:rsidR="0084175D">
        <w:fldChar w:fldCharType="begin"/>
      </w:r>
      <w:r w:rsidR="0084175D">
        <w:instrText xml:space="preserve"> ADDIN ZOTERO_ITEM CSL_CITATION {"citationID":"rsHDF0lB","properties":{"formattedCitation":"(Nielsen 2011)","plainCitation":"(Nielsen 2011)","noteIndex":0},"citationItems":[{"id":2127,"uris":["http://zotero.org/users/9929100/items/6FXFUAIA"],"itemData":{"id":2127,"type":"article-journal","abstract":"The internet’s potential for political mobilization has been highlighted for more than a decade, but we know little about what particular kinds of information and communication technologies are most important when it comes to getting people involved in politics and about what this means for the active exercise of engaged citizenship. On the basis of ethnographic research in two congressional campaigns in the USA, I will argue that specific mundane internet tools (like email) are much more deeply integrated into mobilizing practices today than emerging tools (like social networking sites) and specialized tools (like campaign websites). Campaigns’ reliance on mundane internet tools challenges the prevalent idea that sophisticated ‘hypermedia’ turn people into ‘managed citizens’. Instead, I suggest we theorize internet-assisted activism as a process for the coproduction of citizenship and recognize how dependent even well-funded political organizations are on the wider built communications environment and today’s relatively open internet.","container-title":"New Media &amp; Society","DOI":"10.1177/1461444810380863","ISSN":"1461-4448, 1461-7315","issue":"5","journalAbbreviation":"New Media &amp; Society","language":"en","page":"755-771","source":"DOI.org (Crossref)","title":"Mundane internet tools, mobilizing practices, and the coproduction of citizenship in political campaigns","volume":"13","author":[{"family":"Nielsen","given":"Rasmus Kleis"}],"issued":{"date-parts":[["2011",8]]}}}],"schema":"https://github.com/citation-style-language/schema/raw/master/csl-citation.json"} </w:instrText>
      </w:r>
      <w:r w:rsidR="0084175D">
        <w:fldChar w:fldCharType="separate"/>
      </w:r>
      <w:r w:rsidR="0084175D" w:rsidRPr="0084175D">
        <w:t>(Nielsen 2011)</w:t>
      </w:r>
      <w:r w:rsidR="0084175D">
        <w:fldChar w:fldCharType="end"/>
      </w:r>
      <w:r w:rsidR="00F1570B">
        <w:t>,</w:t>
      </w:r>
      <w:r w:rsidR="00907E44">
        <w:t xml:space="preserve"> </w:t>
      </w:r>
      <w:r w:rsidR="00F1570B">
        <w:t>cambió</w:t>
      </w:r>
      <w:r w:rsidRPr="0080590C">
        <w:t xml:space="preserve"> las estrategias de comunicación</w:t>
      </w:r>
      <w:r w:rsidR="00F1570B">
        <w:t>,</w:t>
      </w:r>
      <w:r w:rsidRPr="0080590C">
        <w:t xml:space="preserve"> persuasión</w:t>
      </w:r>
      <w:r w:rsidR="00F1570B">
        <w:t xml:space="preserve"> y movilización </w:t>
      </w:r>
      <w:r w:rsidRPr="0080590C">
        <w:t>política. A medida que</w:t>
      </w:r>
      <w:r w:rsidR="00907E44">
        <w:t xml:space="preserve"> las plataformas en línea</w:t>
      </w:r>
      <w:r w:rsidRPr="0080590C">
        <w:t xml:space="preserve"> se consolid</w:t>
      </w:r>
      <w:r w:rsidR="00907E44">
        <w:t>aron</w:t>
      </w:r>
      <w:r w:rsidRPr="0080590C">
        <w:t xml:space="preserve"> como un espacio central de interacción social y circulación de información, los partidos y candidatos comenzaron a adaptar sus estrategias de campaña a este nuevo entorno, </w:t>
      </w:r>
      <w:r w:rsidR="00E423AA" w:rsidRPr="0080590C">
        <w:t>siempre siguiendo el objetivo</w:t>
      </w:r>
      <w:r w:rsidR="005829D0" w:rsidRPr="0080590C">
        <w:t xml:space="preserve"> de </w:t>
      </w:r>
      <w:r w:rsidR="00E423AA" w:rsidRPr="0080590C">
        <w:t xml:space="preserve">captar votos y ganar elecciones </w:t>
      </w:r>
      <w:r w:rsidR="00E423AA" w:rsidRPr="0080590C">
        <w:fldChar w:fldCharType="begin"/>
      </w:r>
      <w:r w:rsidR="00E423AA" w:rsidRPr="0080590C">
        <w:instrText xml:space="preserve"> ADDIN ZOTERO_ITEM CSL_CITATION {"citationID":"4RFJdqN9","properties":{"formattedCitation":"(Stromer-Galley 2014)","plainCitation":"(Stromer-Galley 2014)","noteIndex":0},"citationItems":[{"id":1259,"uris":["http://zotero.org/users/9929100/items/3RT8DMG8"],"itemData":{"id":1259,"type":"book","collection-title":"Oxford studies in digital politics","event-place":"New York, NY","ISBN":"978-0-19-935747-5","language":"eng","number-of-pages":"1","publisher":"Oxford University Press","publisher-place":"New York, NY","source":"K10plus ISBN","title":"Presidential campaigning in the Internet age","author":[{"family":"Stromer-Galley","given":"Jennifer"}],"issued":{"date-parts":[["2014"]]}}}],"schema":"https://github.com/citation-style-language/schema/raw/master/csl-citation.json"} </w:instrText>
      </w:r>
      <w:r w:rsidR="00E423AA" w:rsidRPr="0080590C">
        <w:fldChar w:fldCharType="separate"/>
      </w:r>
      <w:r w:rsidR="00E423AA" w:rsidRPr="0080590C">
        <w:t>(Stromer-Galley 2014)</w:t>
      </w:r>
      <w:r w:rsidR="00E423AA" w:rsidRPr="0080590C">
        <w:fldChar w:fldCharType="end"/>
      </w:r>
      <w:r w:rsidR="00E423AA" w:rsidRPr="0080590C">
        <w:t xml:space="preserve">. </w:t>
      </w:r>
      <w:r w:rsidRPr="0080590C">
        <w:t xml:space="preserve">Ya en los años noventa, cuando internet era </w:t>
      </w:r>
      <w:r w:rsidR="00F1570B">
        <w:t>aún una</w:t>
      </w:r>
      <w:r w:rsidRPr="0080590C">
        <w:t xml:space="preserve"> novedad, hay estudios </w:t>
      </w:r>
      <w:r w:rsidR="00F1570B">
        <w:t xml:space="preserve">que muestran el </w:t>
      </w:r>
      <w:r w:rsidR="00181DA3" w:rsidRPr="0080590C">
        <w:t>impacto electoral</w:t>
      </w:r>
      <w:r w:rsidR="00F1570B">
        <w:t xml:space="preserve"> de estas herramientas</w:t>
      </w:r>
      <w:r w:rsidRPr="0080590C">
        <w:t>.</w:t>
      </w:r>
      <w:r w:rsidR="00F1570B" w:rsidRPr="00F1570B">
        <w:t xml:space="preserve"> </w:t>
      </w:r>
      <w:r w:rsidR="00F1570B">
        <w:t>P</w:t>
      </w:r>
      <w:r w:rsidR="00F1570B" w:rsidRPr="0080590C">
        <w:t>ara las elecciones de 1996 en Estados Unidos</w:t>
      </w:r>
      <w:r w:rsidRPr="0080590C">
        <w:t xml:space="preserve"> </w:t>
      </w:r>
      <w:r w:rsidR="00E423AA" w:rsidRPr="0080590C">
        <w:fldChar w:fldCharType="begin"/>
      </w:r>
      <w:r w:rsidR="00CF1EF1">
        <w:instrText xml:space="preserve"> ADDIN ZOTERO_ITEM CSL_CITATION {"citationID":"s2Pv0hZZ","properties":{"formattedCitation":"(D\\uc0\\u8217{}Alessio 1997)","plainCitation":"(D’Alessio 1997)","dontUpdate":true,"noteIndex":0},"citationItems":[{"id":2075,"uris":["http://zotero.org/users/9929100/items/65P3BX7L"],"itemData":{"id":2075,"type":"article-journal","container-title":"Electoral Studies","DOI":"10.1016/S0261-3794(97)00044-9","ISSN":"02613794","issue":"4","journalAbbreviation":"Electoral Studies","language":"en","license":"https://www.elsevier.com/tdm/userlicense/1.0/","page":"489-500","source":"DOI.org (Crossref)","title":"Use of the World Wide Web in the 1996 US election","volume":"16","author":[{"family":"D'Alessio","given":"Dave"}],"issued":{"date-parts":[["1997",12]]}}}],"schema":"https://github.com/citation-style-language/schema/raw/master/csl-citation.json"} </w:instrText>
      </w:r>
      <w:r w:rsidR="00E423AA" w:rsidRPr="0080590C">
        <w:fldChar w:fldCharType="separate"/>
      </w:r>
      <w:r w:rsidR="00E423AA" w:rsidRPr="0080590C">
        <w:rPr>
          <w:kern w:val="0"/>
        </w:rPr>
        <w:t xml:space="preserve">D’Alessio </w:t>
      </w:r>
      <w:r w:rsidR="005829D0" w:rsidRPr="0080590C">
        <w:rPr>
          <w:kern w:val="0"/>
        </w:rPr>
        <w:t>(</w:t>
      </w:r>
      <w:r w:rsidR="00E423AA" w:rsidRPr="0080590C">
        <w:rPr>
          <w:kern w:val="0"/>
        </w:rPr>
        <w:t>1997)</w:t>
      </w:r>
      <w:r w:rsidR="00E423AA" w:rsidRPr="0080590C">
        <w:fldChar w:fldCharType="end"/>
      </w:r>
      <w:r w:rsidR="00E423AA" w:rsidRPr="0080590C">
        <w:t xml:space="preserve"> </w:t>
      </w:r>
      <w:r w:rsidR="00F1570B">
        <w:t>encuentra que los candidatos que tenían</w:t>
      </w:r>
      <w:r w:rsidR="00E423AA" w:rsidRPr="0080590C">
        <w:t xml:space="preserve"> una página web </w:t>
      </w:r>
      <w:r w:rsidR="00F1570B">
        <w:t>obtenían un desempeño electoral mejor que el del promedio</w:t>
      </w:r>
      <w:r w:rsidR="00E423AA" w:rsidRPr="0080590C">
        <w:t>.</w:t>
      </w:r>
      <w:r w:rsidR="005D6B89" w:rsidRPr="0080590C">
        <w:t xml:space="preserve"> </w:t>
      </w:r>
    </w:p>
    <w:p w14:paraId="4347D7C5" w14:textId="0C6E772E" w:rsidR="007448F5" w:rsidRDefault="007448F5" w:rsidP="00067E0C">
      <w:pPr>
        <w:spacing w:after="0" w:line="480" w:lineRule="auto"/>
        <w:ind w:firstLine="708"/>
      </w:pPr>
      <w:r w:rsidRPr="00A44C65">
        <w:t>Las campañas diseñadas a partir de datos e información específica sobre los intereses de los votantes no constituyen una novedad. En la década de 1940 result</w:t>
      </w:r>
      <w:r w:rsidR="00D11F2C">
        <w:t>aba</w:t>
      </w:r>
      <w:r w:rsidRPr="00A44C65">
        <w:t xml:space="preserve"> innovador el uso de datos provenientes de encuestas, mientras que en los años noventa se incorporaron datos vinculados al estilo de vida de los electores</w:t>
      </w:r>
      <w:r>
        <w:t xml:space="preserve"> </w:t>
      </w:r>
      <w:r>
        <w:fldChar w:fldCharType="begin"/>
      </w:r>
      <w:r>
        <w:instrText xml:space="preserve"> ADDIN ZOTERO_ITEM CSL_CITATION {"citationID":"pkrMSbd6","properties":{"formattedCitation":"(Baldwin-Philippi 2019)","plainCitation":"(Baldwin-Philippi 2019)","noteIndex":0},"citationItems":[{"id":2139,"uris":["http://zotero.org/users/9929100/items/WJNS54EE"],"itemData":{"id":2139,"type":"article-journal","container-title":"Internet Policy Review","DOI":"10.14763/2019.4.1437","ISSN":"2197-6775","issue":"4","language":"en","source":"DOI.org (Crossref)","title":"Data campaigning: between empirics and assumptions","title-short":"Data campaigning","URL":"https://policyreview.info/node/1437","volume":"8","author":[{"family":"Baldwin-Philippi","given":"Jessica"}],"accessed":{"date-parts":[["2025",11,6]]},"issued":{"date-parts":[["2019",12,31]]}}}],"schema":"https://github.com/citation-style-language/schema/raw/master/csl-citation.json"} </w:instrText>
      </w:r>
      <w:r>
        <w:fldChar w:fldCharType="separate"/>
      </w:r>
      <w:r w:rsidRPr="006C072E">
        <w:t>(Baldwin-Philippi 2019)</w:t>
      </w:r>
      <w:r>
        <w:fldChar w:fldCharType="end"/>
      </w:r>
      <w:r w:rsidRPr="006C072E">
        <w:t>.</w:t>
      </w:r>
      <w:r>
        <w:t xml:space="preserve"> </w:t>
      </w:r>
      <w:r w:rsidRPr="00A44C65">
        <w:t xml:space="preserve">El primer gran </w:t>
      </w:r>
      <w:r>
        <w:t>caso de uso</w:t>
      </w:r>
      <w:r w:rsidRPr="00A44C65">
        <w:t xml:space="preserve"> </w:t>
      </w:r>
      <w:r>
        <w:t xml:space="preserve">de </w:t>
      </w:r>
      <w:r w:rsidRPr="00A44C65">
        <w:t>analític</w:t>
      </w:r>
      <w:r>
        <w:t>o</w:t>
      </w:r>
      <w:r w:rsidRPr="00A44C65">
        <w:t xml:space="preserve"> de los datos masivos recolectados por las redes sociales de sus usuarios con fines electorales se registró en la campaña presidencial de Barack Obama en 2012, considerada como las primeras elecciones </w:t>
      </w:r>
      <w:r>
        <w:t xml:space="preserve">con </w:t>
      </w:r>
      <w:r w:rsidRPr="00A44C65">
        <w:rPr>
          <w:i/>
          <w:iCs/>
        </w:rPr>
        <w:t>Big Data</w:t>
      </w:r>
      <w:r>
        <w:t xml:space="preserve"> </w:t>
      </w:r>
      <w:r>
        <w:fldChar w:fldCharType="begin"/>
      </w:r>
      <w:r>
        <w:instrText xml:space="preserve"> ADDIN ZOTERO_ITEM CSL_CITATION {"citationID":"I5DqE5zR","properties":{"formattedCitation":"(Hellweg 2012)","plainCitation":"(Hellweg 2012)","noteIndex":0},"citationItems":[{"id":2167,"uris":["http://zotero.org/users/9929100/items/MAJNVYXG"],"itemData":{"id":2167,"type":"article-magazine","container-title":"Harvard Business Review","ISSN":"0017-8012","language":"en","source":"hbr.org","title":"2012: The First Big Data Election","title-short":"2012: The First Big Data Election","URL":"https://hbr.org/2012/11/2012-the-first-big-data-electi","author":[{"family":"Hellweg","given":"Eric"}],"accessed":{"date-parts":[["2025",11,6]]},"issued":{"date-parts":[["2012"]]}}}],"schema":"https://github.com/citation-style-language/schema/raw/master/csl-citation.json"} </w:instrText>
      </w:r>
      <w:r>
        <w:fldChar w:fldCharType="separate"/>
      </w:r>
      <w:r w:rsidRPr="00355B05">
        <w:t>(Hellweg 2012)</w:t>
      </w:r>
      <w:r>
        <w:fldChar w:fldCharType="end"/>
      </w:r>
      <w:r>
        <w:t>.</w:t>
      </w:r>
    </w:p>
    <w:p w14:paraId="0CF14CBC" w14:textId="331B53D0" w:rsidR="007F21DD" w:rsidRDefault="007448F5" w:rsidP="00067E0C">
      <w:pPr>
        <w:spacing w:after="0" w:line="480" w:lineRule="auto"/>
        <w:ind w:firstLine="708"/>
      </w:pPr>
      <w:r>
        <w:lastRenderedPageBreak/>
        <w:t>La</w:t>
      </w:r>
      <w:r w:rsidR="00CF1EF1" w:rsidRPr="0080590C">
        <w:t xml:space="preserve"> irrupción de las redes sociales en la vida cotidiana marcó</w:t>
      </w:r>
      <w:r w:rsidR="00FA28E9" w:rsidRPr="0080590C">
        <w:t xml:space="preserve"> un cambio</w:t>
      </w:r>
      <w:r w:rsidR="005B0934" w:rsidRPr="0080590C">
        <w:t xml:space="preserve"> en la forma en que las personas interactúan, obtienen y procesan información</w:t>
      </w:r>
      <w:r w:rsidR="00557771" w:rsidRPr="0080590C">
        <w:t xml:space="preserve">. </w:t>
      </w:r>
      <w:r w:rsidR="005D6B89" w:rsidRPr="0080590C">
        <w:t xml:space="preserve">Desde entonces </w:t>
      </w:r>
      <w:r w:rsidR="00F1570B">
        <w:t>diferentes estudios han</w:t>
      </w:r>
      <w:r w:rsidR="0084175D">
        <w:t xml:space="preserve"> documentado</w:t>
      </w:r>
      <w:r w:rsidR="00F1570B">
        <w:t xml:space="preserve"> </w:t>
      </w:r>
      <w:r w:rsidR="0084175D">
        <w:t xml:space="preserve">la evolución </w:t>
      </w:r>
      <w:r w:rsidR="005D6B89" w:rsidRPr="0080590C">
        <w:t xml:space="preserve">el </w:t>
      </w:r>
      <w:r w:rsidR="00181DA3" w:rsidRPr="0080590C">
        <w:t xml:space="preserve">efecto de las redes sociales en la actividad política </w:t>
      </w:r>
      <w:r w:rsidR="00181DA3" w:rsidRPr="0080590C">
        <w:fldChar w:fldCharType="begin"/>
      </w:r>
      <w:r w:rsidR="00C74782">
        <w:instrText xml:space="preserve"> ADDIN ZOTERO_ITEM CSL_CITATION {"citationID":"OfL2HMV5","properties":{"formattedCitation":"(Bode 2012; Boulianne 2009; Coelho et\\uc0\\u160{}al. 2017; Conroy et\\uc0\\u160{}al. 2012; Pasek et\\uc0\\u160{}al. 2009; Wagner y Gainous 2009)","plainCitation":"(Bode 2012; Boulianne 2009; Coelho et al. 2017; Conroy et al. 2012; Pasek et al. 2009; Wagner y Gainous 2009)","dontUpdate":true,"noteIndex":0},"citationItems":[{"id":2101,"uris":["http://zotero.org/users/9929100/items/87STKLR6"],"itemData":{"id":2101,"type":"article-journal","abstract":"As Internet use continues to become integrated into the daily lives of average Americans, it becomes necessary to understand the implications of each aspect of that use. As the majority of adults now take advantage of social network sites, understanding how they make use of those sites and what that means for American politics is increasingly important. This study considers one such social network site, Facebook, and how engaging in specific behaviors that provide personalized information, create community engagement, and generate social capital within that realm impacted users' decision to participate politically in the presidential primary of 2008. It concludes that certain Facebook behaviors can be translated into participatory political behaviors, both online and offline. Moreover, it is not whether or how often one uses Facebook, but rather the specific set of activities one engages in during such time that drives the relationship between Facebook use and various types of political participation.","container-title":"Journal of Information Technology &amp; Politics","DOI":"10.1080/19331681.2012.709045","ISSN":"1933-1681","issue":"4","note":"publisher: Routledge\n_eprint: https://doi.org/10.1080/19331681.2012.709045","page":"352-369","source":"Taylor and Francis+NEJM","title":"Facebooking It to the Polls: A Study in Online Social Networking and Political Behavior","title-short":"Facebooking It to the Polls","volume":"9","author":[{"family":"Bode","given":"Leticia"}],"issued":{"date-parts":[["2012",10,1]]}}},{"id":2090,"uris":["http://zotero.org/users/9929100/items/45RYBUML"],"itemData":{"id":2090,"type":"article-journal","container-title":"Political Communication","DOI":"10.1080/10584600902854363","ISSN":"1058-4609, 1091-7675","issue":"2","journalAbbreviation":"Political Communication","language":"en","page":"193-211","source":"DOI.org (Crossref)","title":"Does Internet Use Affect Engagement? A Meta-Analysis of Research","title-short":"Does Internet Use Affect Engagement?","volume":"26","author":[{"family":"Boulianne","given":"Shelley"}],"issued":{"date-parts":[["2009",5,11]]}}},{"id":2095,"uris":["http://zotero.org/users/9929100/items/EEB9BGX2"],"itemData":{"id":2095,"type":"article-journal","abstract":"Today, social media are the new way of public and political communication in digital marketing. Companies or organizations are no longer the exclusive owners of the relation of consumers with their products/services; instead, the survival of the organizations depends of the effective utilization of the social media. New web technologies have made it easy for anyone to create and distribute their own content.  A tweet can be viewed by virtually millions of people for free, and advertisers don’t have to pay publishers huge sums of money to embed their messages. More consumers are on social media than ever before, and every second a company is not engaged is a wasted opportunity [1]. Consumers trust other people to provide recommendations about products and services in a very active way and it is important to know how and why social media influence organizations. This study analyzes through a literature review the importance of public and political communication through social media and proposes a model of business for successful marketing strategies.","container-title":"International Journal of Interactive Mobile Technologies","DOI":"10.3991/ijim.v11i6.6876","ISSN":"1865-7923","issue":"6","page":"150-157","source":"Glasgow Caledonian University","title":"Social media: a new way of public and political communication in digital media","title-short":"Social media","volume":"11","author":[{"family":"Coelho","given":"Patricia M.F."},{"family":"Correia","given":"Pedro A.P."},{"family":"Garcia Medina","given":"Irene"}],"issued":{"date-parts":[["2017",11,27]]}}},{"id":2103,"uris":["http://zotero.org/users/9929100/items/FY5FI2TD"],"itemData":{"id":2103,"type":"article-journal","abstract":"In what ways do online groups help to foster political engagement among citizens? We employ a multi-method design incorporating content analysis of online political group pages and original survey research of university undergraduates (n=455) to assess the relationship between online political group membership and political engagement—measured through political knowledge and political participation surrounding the 2008 election. We find that participation in online political groups is strongly correlated with offline political participation, as a potential function of engaging members online. However, we fail to confirm that there is a corresponding positive relationship between participation in online political groups and political knowledge, likely due to low quality online group discussion.","container-title":"Computers in Human Behavior","DOI":"10.1016/j.chb.2012.03.012","ISSN":"0747-5632","issue":"5","journalAbbreviation":"Computers in Human Behavior","page":"1535-1546","source":"ScienceDirect","title":"Facebook and political engagement: A study of online political group membership and offline political engagement","title-short":"Facebook and political engagement","volume":"28","author":[{"family":"Conroy","given":"Meredith"},{"family":"Feezell","given":"Jessica T."},{"family":"Guerrero","given":"Mario"}],"issued":{"date-parts":[["2012",9,1]]}}},{"id":2106,"uris":["http://zotero.org/users/9929100/items/3PT27BY2"],"itemData":{"id":2106,"type":"article-journal","abstract":"Does Internet use have the potential to build social capital? Emerging evidence suggests that politically knowledgeable, interpersonally trusting, and civically engaged individuals share particular patterns of Internet use. In previous national survey studies, Internet use has been divided into a handful of excessively broad categories, and researchers have been unable to address newer, category-spanning Internet uses as well as the potential impact of individual Web sites. By examining the use of online social networks in a nationally representative sample of young people, this study explores the varied relationships between indicators of social capital and Internet use on a site-specific level (i.e., MySpace vs. Facebook). Indeed, differences between social networking sites are as large as those between more global categories of use (e.g., informational vs. social networking) and are robust to attempts to account for differences between the users of the sites. In explaining these relationships and exploring the differences between social networking sites, we suggest that Web site use induces a site-specific culture that can either encourage or hinder social capital.","container-title":"Journal of Information Technology &amp; Politics","DOI":"10.1080/19331680902996403","ISSN":"1933-1681","issue":"3-4","note":"publisher: Routledge\n_eprint: https://doi.org/10.1080/19331680902996403","page":"197-215","source":"Taylor and Francis+NEJM","title":"Realizing the Social Internet? Online Social Networking Meets Offline Civic Engagement","title-short":"Realizing the Social Internet?","volume":"6","author":[{"family":"Pasek","given":"Josh"},{"family":"more","given":"eian"},{"family":"Romer","given":"Daniel"}],"issued":{"date-parts":[["2009",7,16]]}}},{"id":2077,"uris":["http://zotero.org/users/9929100/items/STYIKVJX"],"itemData":{"id":2077,"type":"article-journal","container-title":"The Journal of Legislative Studies","DOI":"10.1080/13572330903302539","ISSN":"1357-2334, 1743-9337","issue":"4","journalAbbreviation":"The Journal of Legislative Studies","language":"en","page":"502-520","source":"DOI.org (Crossref)","title":"Electronic Grassroots: Does Online Campaigning Work?","title-short":"Electronic Grassroots","volume":"15","author":[{"family":"Wagner","given":"Kevin M."},{"family":"Gainous","given":"Jason"}],"issued":{"date-parts":[["2009",12]]}}}],"schema":"https://github.com/citation-style-language/schema/raw/master/csl-citation.json"} </w:instrText>
      </w:r>
      <w:r w:rsidR="00181DA3" w:rsidRPr="0080590C">
        <w:fldChar w:fldCharType="separate"/>
      </w:r>
      <w:r w:rsidR="00181DA3" w:rsidRPr="0080590C">
        <w:rPr>
          <w:kern w:val="0"/>
        </w:rPr>
        <w:t>(Bode 2012; Coelho et al. 2017; Conroy et al. 2012; Pasek et al. 2009)</w:t>
      </w:r>
      <w:r w:rsidR="00181DA3" w:rsidRPr="0080590C">
        <w:fldChar w:fldCharType="end"/>
      </w:r>
      <w:r w:rsidR="00181DA3" w:rsidRPr="0080590C">
        <w:t xml:space="preserve">. </w:t>
      </w:r>
      <w:r w:rsidR="00D70976" w:rsidRPr="0080590C">
        <w:t>La comunicación política también se vio afectada</w:t>
      </w:r>
      <w:r w:rsidR="00F1570B">
        <w:t xml:space="preserve"> en sus formas</w:t>
      </w:r>
      <w:r w:rsidR="00557771" w:rsidRPr="0080590C">
        <w:t xml:space="preserve"> </w:t>
      </w:r>
      <w:r w:rsidR="00F1570B">
        <w:t xml:space="preserve">en la medida en que </w:t>
      </w:r>
      <w:r w:rsidR="00557771" w:rsidRPr="0080590C">
        <w:t xml:space="preserve">los algoritmos incentivan mensajes y videos cortos para audiencias personalizadas </w:t>
      </w:r>
      <w:r w:rsidR="00557771" w:rsidRPr="0080590C">
        <w:fldChar w:fldCharType="begin"/>
      </w:r>
      <w:r w:rsidR="00557771" w:rsidRPr="0080590C">
        <w:instrText xml:space="preserve"> ADDIN ZOTERO_ITEM CSL_CITATION {"citationID":"LTFUxABE","properties":{"formattedCitation":"(Gainous y Wagner 2014)","plainCitation":"(Gainous y Wagner 2014)","noteIndex":0},"citationItems":[{"id":2082,"uris":["http://zotero.org/users/9929100/items/V7XBKPQE"],"itemData":{"id":2082,"type":"book","abstract":"Using theory and data, Gainous and Wagner illustrate how online social media is bypassing traditional media and creating new forums for the exchange of political information and campaigning","collection-title":"Oxford studies in digital politics","event-place":"Oxford","ISBN":"978-0-19-996509-0","language":"en","note":"DOI: 10.1093/acprof:oso/9780199965076.001.0001","number-of-pages":"190","publisher":"Oxford Univ. Press","publisher-place":"Oxford","source":"K10plus ISBN","title":"Tweeting to power: the social media revolution in American politics","title-short":"Tweeting to power","author":[{"family":"Gainous","given":"Jason"},{"family":"Wagner","given":"Kevin M."}],"issued":{"date-parts":[["2014"]]}}}],"schema":"https://github.com/citation-style-language/schema/raw/master/csl-citation.json"} </w:instrText>
      </w:r>
      <w:r w:rsidR="00557771" w:rsidRPr="0080590C">
        <w:fldChar w:fldCharType="separate"/>
      </w:r>
      <w:r w:rsidR="00557771" w:rsidRPr="0080590C">
        <w:t>(Gainous y Wagner 2014)</w:t>
      </w:r>
      <w:r w:rsidR="00557771" w:rsidRPr="0080590C">
        <w:fldChar w:fldCharType="end"/>
      </w:r>
      <w:r w:rsidR="00557771" w:rsidRPr="0080590C">
        <w:t xml:space="preserve">. Las redes sociales brindan a los usuarios la sensación de control sobre </w:t>
      </w:r>
      <w:r w:rsidR="0098558C" w:rsidRPr="0080590C">
        <w:t>el contenido y las personas</w:t>
      </w:r>
      <w:r w:rsidR="00557771" w:rsidRPr="0080590C">
        <w:t xml:space="preserve"> que aparecen</w:t>
      </w:r>
      <w:r w:rsidR="0098558C" w:rsidRPr="0080590C">
        <w:t xml:space="preserve"> en su </w:t>
      </w:r>
      <w:r w:rsidR="0098558C" w:rsidRPr="00F1570B">
        <w:rPr>
          <w:i/>
          <w:iCs/>
        </w:rPr>
        <w:t>feed</w:t>
      </w:r>
      <w:r w:rsidR="00557771" w:rsidRPr="0080590C">
        <w:t xml:space="preserve">, evitando </w:t>
      </w:r>
      <w:r w:rsidR="0098558C" w:rsidRPr="0080590C">
        <w:t xml:space="preserve">que se enfrenten a </w:t>
      </w:r>
      <w:r w:rsidR="00557771" w:rsidRPr="0080590C">
        <w:t xml:space="preserve">ideas y personas que se encuentren opuestas a su pensamiento </w:t>
      </w:r>
      <w:r w:rsidR="0098558C" w:rsidRPr="0080590C">
        <w:fldChar w:fldCharType="begin"/>
      </w:r>
      <w:r w:rsidR="0098558C" w:rsidRPr="0080590C">
        <w:instrText xml:space="preserve"> ADDIN ZOTERO_ITEM CSL_CITATION {"citationID":"1Q80WIRe","properties":{"formattedCitation":"(Aruguete y Calvo 2018)","plainCitation":"(Aruguete y Calvo 2018)","noteIndex":0},"citationItems":[{"id":2079,"uris":["http://zotero.org/users/9929100/items/5XYKQCYX"],"itemData":{"id":2079,"type":"article-journal","container-title":"Journal of Communication","DOI":"10.1093/joc/jqy007","ISSN":"0021-9916, 1460-2466","issue":"3","language":"en","license":"https://academic.oup.com/journals/pages/about_us/legal/notices","page":"480-502","source":"DOI.org (Crossref)","title":"Time to #Protest: Selective Exposure, Cascading Activation, and Framing in Social Media","title-short":"Time to #Protest","volume":"68","author":[{"family":"Aruguete","given":"Natalia"},{"family":"Calvo","given":"Ernesto"}],"issued":{"date-parts":[["2018",6,1]]}}}],"schema":"https://github.com/citation-style-language/schema/raw/master/csl-citation.json"} </w:instrText>
      </w:r>
      <w:r w:rsidR="0098558C" w:rsidRPr="0080590C">
        <w:fldChar w:fldCharType="separate"/>
      </w:r>
      <w:r w:rsidR="0098558C" w:rsidRPr="0080590C">
        <w:t>(Aruguete y Calvo 2018)</w:t>
      </w:r>
      <w:r w:rsidR="0098558C" w:rsidRPr="0080590C">
        <w:fldChar w:fldCharType="end"/>
      </w:r>
      <w:r w:rsidR="00816975" w:rsidRPr="0080590C">
        <w:t>.</w:t>
      </w:r>
    </w:p>
    <w:p w14:paraId="41AABA73" w14:textId="7FC041D2" w:rsidR="00355B05" w:rsidRDefault="00A44C65" w:rsidP="00067E0C">
      <w:pPr>
        <w:spacing w:after="0" w:line="480" w:lineRule="auto"/>
        <w:ind w:firstLine="708"/>
      </w:pPr>
      <w:r>
        <w:t>Las estrategias de</w:t>
      </w:r>
      <w:r w:rsidRPr="00A44C65">
        <w:t xml:space="preserve"> </w:t>
      </w:r>
      <w:r w:rsidRPr="00D11F2C">
        <w:rPr>
          <w:i/>
          <w:iCs/>
        </w:rPr>
        <w:t>microtargeting</w:t>
      </w:r>
      <w:r w:rsidRPr="00A44C65">
        <w:t xml:space="preserve"> consiste</w:t>
      </w:r>
      <w:r>
        <w:t>n</w:t>
      </w:r>
      <w:r w:rsidRPr="00A44C65">
        <w:t xml:space="preserve"> en crear mensajes muy precisos dirigidos a categorías específicas de votantes </w:t>
      </w:r>
      <w:r>
        <w:t xml:space="preserve">basados en el </w:t>
      </w:r>
      <w:r w:rsidRPr="00A44C65">
        <w:t>análisis combinatorio de datos recopilados a partir de las características demográficas y los hábitos de consumo y estilo de vida de las personas</w:t>
      </w:r>
      <w:r w:rsidR="00056B0D">
        <w:t xml:space="preserve"> </w:t>
      </w:r>
      <w:r w:rsidR="00056B0D">
        <w:fldChar w:fldCharType="begin"/>
      </w:r>
      <w:r w:rsidR="00056B0D">
        <w:instrText xml:space="preserve"> ADDIN ZOTERO_ITEM CSL_CITATION {"citationID":"O7bCwVN9","properties":{"formattedCitation":"(Gorton 2016)","plainCitation":"(Gorton 2016)","noteIndex":0},"citationItems":[{"id":2169,"uris":["http://zotero.org/users/9929100/items/ZLR8CDB4"],"itemData":{"id":2169,"type":"article-journal","abstract":"Abstract\n            Critical theorists in the mid-twentieth century argued that behavioral social science by its nature conceptualizes knowledge as the power to predict and control. As such, rather than serving as a source of enlightenment or emancipation, social science risked functioning as a tool for dominating and manipulating the public.The power of this criticism, however, was undermined by the behavioral revolution’s initial failure to produce theories that offered much prognostic power. Recent methodological and technological developments in the social sciences have begun to generate an impressive ability to predict human behavior, especially when combined with new innovations in marketing and computer science. Disturbingly, political campaigns and interest groups, especially in the US, appropriate this new knowledge to try to alter the beliefs and behaviors of voters. This development bodes ill for US democracy and other liberal democracies where the use of these techniques is likely to increase. It turns citizens into objects of manipulation and undermines the public sphere by thwarting public deliberation, aggravating political polarization, and facilitating the spread of misinformation.","container-title":"New Political Science","DOI":"10.1080/07393148.2015.1125119","ISSN":"0739-3148, 1469-9931","issue":"1","language":"en","page":"61-80","source":"DOI.org (Crossref)","title":"Manipulating Citizens: How Political Campaigns’ Use of Behavioral Social Science Harms Democracy","title-short":"Manipulating Citizens","volume":"38","author":[{"family":"Gorton","given":"William A."}],"issued":{"date-parts":[["2016",3,1]]}}}],"schema":"https://github.com/citation-style-language/schema/raw/master/csl-citation.json"} </w:instrText>
      </w:r>
      <w:r w:rsidR="00056B0D">
        <w:fldChar w:fldCharType="separate"/>
      </w:r>
      <w:r w:rsidR="00056B0D" w:rsidRPr="00056B0D">
        <w:t>(Gorton 2016)</w:t>
      </w:r>
      <w:r w:rsidR="00056B0D">
        <w:fldChar w:fldCharType="end"/>
      </w:r>
      <w:r w:rsidR="00056B0D">
        <w:t>.</w:t>
      </w:r>
      <w:r>
        <w:t xml:space="preserve"> </w:t>
      </w:r>
      <w:r w:rsidR="00056B0D" w:rsidRPr="00056B0D">
        <w:t>En las plataformas de Meta</w:t>
      </w:r>
      <w:r w:rsidR="00056B0D">
        <w:rPr>
          <w:rStyle w:val="Refdenotaalpie"/>
        </w:rPr>
        <w:footnoteReference w:id="1"/>
      </w:r>
      <w:r w:rsidR="00056B0D" w:rsidRPr="00056B0D">
        <w:t xml:space="preserve"> es posible orientar los anuncios por ubicación, edad, educación, género y otras características demográficas, así como dirigir los anuncios a personas que ya interactuaron con una página</w:t>
      </w:r>
      <w:r w:rsidR="007448F5">
        <w:t xml:space="preserve"> o</w:t>
      </w:r>
      <w:r w:rsidR="00056B0D" w:rsidRPr="00056B0D">
        <w:t xml:space="preserve"> sitio web </w:t>
      </w:r>
      <w:r w:rsidR="007448F5">
        <w:t xml:space="preserve">propio </w:t>
      </w:r>
      <w:r w:rsidR="00056B0D">
        <w:t xml:space="preserve">y </w:t>
      </w:r>
      <w:r w:rsidR="00056B0D" w:rsidRPr="00056B0D">
        <w:t>extender el alcance hacia usuarios con características comparables a los de una audiencia de referencia</w:t>
      </w:r>
      <w:r w:rsidR="00056B0D">
        <w:t xml:space="preserve"> o evitar aquellas con intereses opuestos</w:t>
      </w:r>
      <w:r w:rsidR="00D46072">
        <w:t xml:space="preserve"> </w:t>
      </w:r>
      <w:r w:rsidR="00D46072">
        <w:fldChar w:fldCharType="begin"/>
      </w:r>
      <w:r w:rsidR="00D46072">
        <w:instrText xml:space="preserve"> ADDIN ZOTERO_ITEM CSL_CITATION {"citationID":"TBIh32wh","properties":{"formattedCitation":"(Bennett y Gordon 2020)","plainCitation":"(Bennett y Gordon 2020)","noteIndex":0},"citationItems":[{"id":2121,"uris":["http://zotero.org/users/9929100/items/WXSCCB92"],"itemData":{"id":2121,"type":"article","abstract":"In the aftermath of the scandals involving Facebook and Cambridge Analytica, there is now global attention to the nature of the \"data-driven\" election and the effects of political micro-targeting on campaigning practices and the integrity of our democratic systems. Political micro-targeting arguably serves to fragment political discourse, to accentuate “wedge issues”, to promote “filter bubbles” and leads to a transactional politics where localized claims and promises remain unchallenged. There are macro-consequences of micro-targeting.Still, we contend that the concept of political micro-targeting is vaguely used, poorly understood, and only sparsely studied outside the U.S. This paper analyzes the actual practice of micro-targeting in the 2019 Canadian federal election. The Canadian case holds some important lessons for other parliamentary, multi-party democracies. What does micro-targeting look like to the average voter in Canada? How “micro” is indeed the micro-targeting?The literature tends to assume that political micro-targeting requires a precisely segmented audience, a specific location, and, most importantly a focussed policy message. If so, then how much political micro-targeting actually occurs in Canadian elections? We analyzed a sample of ads (from the Facebook ad library) delivered on two critical dates during the 2019 federal election. We found that only a small minority (7%) met these criteria. Most ads critically lacked precision on one, or two, of these critical variables. Although we did not find widespread use of insidious ad variation witnessed in U.S. elections, we did find visible examples of A/B testing, in which the font, image, or iteration of a certain message shifted from ad to ad. However, to the extent that claims about policies or issues were made, they were generally pitched at a relatively abstract policy level.There is a confusion, therefore, between the obscure micro-targeting processes used by Facebook and the visible manifestation of the ads to the average voter. Although the Facebook political ad library provides access to unprecedented levels of information about political digital advertising in Canada, it is still very difficult to determine why people were selected to receive the advertisements that they did.Our findings suggest a more nuanced understanding of the practice, as well as a higher level of transparency, not only for the social media platforms but also for the data analytics performed through the political parties' voter relationship management systems. Ultimately, we need a more refined, and nuanced, understanding of the different levels of micro-targeting experienced in Canadian elections. Not all micro-targeting carries the same precision. And not all raise the same concerns about electoral manipulation and propaganda.","DOI":"10.2139/ssrn.3589687","event-place":"Rochester, NY","genre":"SSRN Scholarly Paper","language":"en","number":"3589687","publisher":"Social Science Research Network","publisher-place":"Rochester, NY","source":"papers.ssrn.com","title":"Understanding the “Micro” in Micro-Targeting: An Analysis of Facebook Digital Advertising in the 2019 Federal Canadian Election","title-short":"Understanding the “Micro” in Micro-Targeting","URL":"https://papers.ssrn.com/abstract=3589687","author":[{"family":"Bennett","given":"Colin"},{"family":"Gordon","given":"Jesse"}],"accessed":{"date-parts":[["2025",11,6]]},"issued":{"date-parts":[["2020",5,1]]}}}],"schema":"https://github.com/citation-style-language/schema/raw/master/csl-citation.json"} </w:instrText>
      </w:r>
      <w:r w:rsidR="00D46072">
        <w:fldChar w:fldCharType="separate"/>
      </w:r>
      <w:r w:rsidR="00D46072" w:rsidRPr="00D46072">
        <w:t>(Bennett y Gordon 2020)</w:t>
      </w:r>
      <w:r w:rsidR="00D46072">
        <w:fldChar w:fldCharType="end"/>
      </w:r>
      <w:r w:rsidR="00056B0D">
        <w:t>.</w:t>
      </w:r>
    </w:p>
    <w:p w14:paraId="5B354082" w14:textId="0A6D8497" w:rsidR="00E33652" w:rsidRDefault="00E33652" w:rsidP="00067E0C">
      <w:pPr>
        <w:spacing w:after="0" w:line="480" w:lineRule="auto"/>
        <w:ind w:firstLine="708"/>
      </w:pPr>
      <w:r w:rsidRPr="00E33652">
        <w:t xml:space="preserve">El proceso y el resultado del microtargeting son una combinación de decisiones estratégicas del anunciante político y el funcionamiento del algoritmo de entrega de anuncios de Facebook. </w:t>
      </w:r>
      <w:r>
        <w:t>El</w:t>
      </w:r>
      <w:r w:rsidR="00D46072" w:rsidRPr="00D46072">
        <w:t xml:space="preserve"> algoritmo de entrega de anuncios es una caja negra</w:t>
      </w:r>
      <w:r w:rsidR="00D46072">
        <w:t xml:space="preserve"> </w:t>
      </w:r>
      <w:r>
        <w:t xml:space="preserve">con un </w:t>
      </w:r>
      <w:r>
        <w:lastRenderedPageBreak/>
        <w:t xml:space="preserve">funcionamiento oculto, que no permite a los anunciantes saber qué criterios se utilizan para que sus anuncios sean o no mostrados a los usuarios </w:t>
      </w:r>
      <w:r w:rsidR="00D46072">
        <w:fldChar w:fldCharType="begin"/>
      </w:r>
      <w:r w:rsidR="00C74782">
        <w:instrText xml:space="preserve"> ADDIN ZOTERO_ITEM CSL_CITATION {"citationID":"khReDNEd","properties":{"formattedCitation":"(Ali et\\uc0\\u160{}al. 2021; Pasquale 2015)","plainCitation":"(Ali et al. 2021; Pasquale 2015)","dontUpdate":true,"noteIndex":0},"citationItems":[{"id":1041,"uris":["http://zotero.org/users/9929100/items/MNQ5ZI49"],"itemData":{"id":1041,"type":"paper-conference","container-title":"Proceedings of the 14th ACM International Conference on Web Search and Data Mining","DOI":"10.1145/3437963.3441801","event-place":"Virtual Event Israel","event-title":"WSDM '21: The Fourteenth ACM International Conference on Web Search and Data Mining","ISBN":"978-1-4503-8297-7","language":"en","page":"13-21","publisher":"ACM","publisher-place":"Virtual Event Israel","source":"DOI.org (Crossref)","title":"Ad Delivery Algorithms: The Hidden Arbiters of Political Messaging","title-short":"Ad Delivery Algorithms","URL":"https://dl.acm.org/doi/10.1145/3437963.3441801","author":[{"family":"Ali","given":"Muhammad"},{"family":"Sapiezynski","given":"Piotr"},{"family":"Korolova","given":"Aleksandra"},{"family":"Mislove","given":"Alan"},{"family":"Rieke","given":"Aaron"}],"accessed":{"date-parts":[["2025",8,8]]},"issued":{"date-parts":[["2021",3,8]]}}},{"id":1019,"uris":["http://zotero.org/users/9929100/items/TYIKGHAK"],"itemData":{"id":1019,"type":"webpage","abstract":"Every day, corporations are connecting the dots about our personal behavior—silently scrutinizing clues left behind by our work habits and Internet use. The data compiled and portraits created are incredibly detailed, to the point of being invasive. But who connects the dots about what firms are doing with this information? The Black Box Society argues that we all need to be able to do so—and to set limits on how big data affects our lives.Hidden algorithms can make (or ruin) reputations, decide the destiny of entrepreneurs, or even devastate an entire economy. Shrouded in secrecy and complexity, decisions at major Silicon Valley and Wall Street firms were long assumed to be neutral and technical. But leaks, whistleblowers, and legal disputes have shed new light on automated judgment. Self-serving and reckless behavior is surprisingly common, and easy to hide in code protected by legal and real secrecy. Even after billions of dollars of fines have been levied, underfunded regulators may have only scratched the surface of this troubling behavior.Frank Pasquale exposes how powerful interests abuse secrecy for profit and explains ways to rein them in. Demanding transparency is only the first step. An intelligible society would assure that key decisions of its most important firms are fair, nondiscriminatory, and open to criticism. Silicon Valley and Wall Street need to accept as much accountability as they impose on others.","container-title":"Harvard University Press","language":"en","title":"The Black Box Society","URL":"https://www.hup.harvard.edu/books/9780674970847","author":[{"family":"Pasquale","given":"Frank"}],"accessed":{"date-parts":[["2025",8,8]]},"issued":{"date-parts":[["2015"]]}}}],"schema":"https://github.com/citation-style-language/schema/raw/master/csl-citation.json"} </w:instrText>
      </w:r>
      <w:r w:rsidR="00D46072">
        <w:fldChar w:fldCharType="separate"/>
      </w:r>
      <w:r w:rsidR="00D46072" w:rsidRPr="00D46072">
        <w:rPr>
          <w:kern w:val="0"/>
        </w:rPr>
        <w:t>(Pasquale 2015)</w:t>
      </w:r>
      <w:r w:rsidR="00D46072">
        <w:fldChar w:fldCharType="end"/>
      </w:r>
      <w:r>
        <w:t xml:space="preserve">. </w:t>
      </w:r>
    </w:p>
    <w:p w14:paraId="3F65D8E5" w14:textId="772AE87F" w:rsidR="00E84558" w:rsidRDefault="00174482" w:rsidP="00067E0C">
      <w:pPr>
        <w:spacing w:after="0" w:line="480" w:lineRule="auto"/>
        <w:ind w:firstLine="708"/>
      </w:pPr>
      <w:r w:rsidRPr="00174482">
        <w:t>Hay varios elementos clave que impulsan la comunicación de las campañas políticas. Movilizar y coordinar esfuerzos, llamar a votar, mostrar sus cualidades, defender sus ideas, convencer a la población que son una mejor opción que sus contrincantes</w:t>
      </w:r>
      <w:r w:rsidR="00A431B9">
        <w:t>,</w:t>
      </w:r>
      <w:r w:rsidRPr="00174482">
        <w:t xml:space="preserve"> entre otras (Benoit 2001).</w:t>
      </w:r>
      <w:r>
        <w:t xml:space="preserve"> </w:t>
      </w:r>
      <w:r w:rsidR="009D54CD">
        <w:fldChar w:fldCharType="begin"/>
      </w:r>
      <w:r w:rsidR="00C74782">
        <w:instrText xml:space="preserve"> ADDIN ZOTERO_ITEM CSL_CITATION {"citationID":"JwjhQiVA","properties":{"formattedCitation":"(Baldwin-Philippi 2017)","plainCitation":"(Baldwin-Philippi 2017)","dontUpdate":true,"noteIndex":0},"citationItems":[{"id":2141,"uris":["http://zotero.org/users/9929100/items/X2LP9X4M"],"itemData":{"id":2141,"type":"article-journal","container-title":"Political Communication","DOI":"10.1080/10584609.2017.1372999","ISSN":"1058-4609, 1091-7675","issue":"4","journalAbbreviation":"Political Communication","language":"en","page":"627-633","source":"DOI.org (Crossref)","title":"The Myths of Data-Driven Campaigning","volume":"34","author":[{"family":"Baldwin-Philippi","given":"Jessica"}],"issued":{"date-parts":[["2017",10,2]]}}}],"schema":"https://github.com/citation-style-language/schema/raw/master/csl-citation.json"} </w:instrText>
      </w:r>
      <w:r w:rsidR="009D54CD">
        <w:fldChar w:fldCharType="separate"/>
      </w:r>
      <w:r w:rsidR="009D54CD" w:rsidRPr="009D54CD">
        <w:t>Baldwin-Philippi (2017)</w:t>
      </w:r>
      <w:r w:rsidR="009D54CD">
        <w:fldChar w:fldCharType="end"/>
      </w:r>
      <w:r w:rsidR="009D54CD">
        <w:t xml:space="preserve"> sostiene </w:t>
      </w:r>
      <w:r w:rsidR="00A90A70">
        <w:t xml:space="preserve">que </w:t>
      </w:r>
      <w:r w:rsidR="009D54CD">
        <w:t xml:space="preserve">el potencial principal </w:t>
      </w:r>
      <w:r>
        <w:t xml:space="preserve">de las campañas basadas en datos </w:t>
      </w:r>
      <w:r w:rsidR="009D54CD">
        <w:t xml:space="preserve">es </w:t>
      </w:r>
      <w:r w:rsidR="009D54CD" w:rsidRPr="009D54CD">
        <w:t>decidir qué mensajes se envían</w:t>
      </w:r>
      <w:r w:rsidR="00A431B9">
        <w:t>,</w:t>
      </w:r>
      <w:r w:rsidR="009D54CD" w:rsidRPr="009D54CD">
        <w:t xml:space="preserve"> a qué votantes</w:t>
      </w:r>
      <w:r w:rsidR="00A431B9">
        <w:t>,</w:t>
      </w:r>
      <w:r w:rsidR="009D54CD">
        <w:t xml:space="preserve"> </w:t>
      </w:r>
      <w:r w:rsidR="009D54CD" w:rsidRPr="009D54CD">
        <w:t>en qué momento de la campaña</w:t>
      </w:r>
      <w:r w:rsidR="009D54CD">
        <w:t xml:space="preserve"> y</w:t>
      </w:r>
      <w:r w:rsidR="009D54CD" w:rsidRPr="009D54CD">
        <w:t xml:space="preserve"> medir el rendimiento de los</w:t>
      </w:r>
      <w:r w:rsidR="009D54CD">
        <w:t xml:space="preserve"> anuncios para </w:t>
      </w:r>
      <w:r w:rsidR="00E84558">
        <w:t>adaptar sus estrategias de comunicación.</w:t>
      </w:r>
      <w:r w:rsidR="001332F3">
        <w:t xml:space="preserve">  </w:t>
      </w:r>
      <w:r w:rsidR="00E84558">
        <w:t xml:space="preserve">Por ejemplo, el contenido y tono de los anuncios dirigidos a potenciales donantes es diferente que a los votantes. </w:t>
      </w:r>
      <w:r w:rsidR="00A90A70" w:rsidRPr="00E84558">
        <w:rPr>
          <w:kern w:val="0"/>
        </w:rPr>
        <w:t>(</w:t>
      </w:r>
      <w:r w:rsidR="00E84558">
        <w:fldChar w:fldCharType="begin"/>
      </w:r>
      <w:r w:rsidR="00C74782">
        <w:instrText xml:space="preserve"> ADDIN ZOTERO_ITEM CSL_CITATION {"citationID":"8PK1MyKI","properties":{"formattedCitation":"(Kim et\\uc0\\u160{}al. 2025)","plainCitation":"(Kim et al. 2025)","dontUpdate":true,"noteIndex":0},"citationItems":[{"id":502,"uris":["http://zotero.org/users/9929100/items/DE43KERA"],"itemData":{"id":502,"type":"article-journal","abstract":"Political candidates utilize social media to mobilize supporters, persuade voters, and raise money. However, little is known about the structure of mass electoral appeals when donors are the primary target instead of voters. Because candidates’ donors and voters can differ significantly, with donors more partisan and ideologically extreme on average, we theorize that candidates use strategic rhetoric tailored to specific audiences. To analyze how campaigns perceive and target their “financial electorate,” we leverage data from the Facebook Ad Library for 2020 U.S. congressional candidates and distinguish political ads by their persuasion targets. Using text analysis, we test the hypotheses that donor-targeting messages are more toxic, negative, and likely to reference a polarizing president than voter-targeting messages. The results support our hypotheses, and Republican candidates, on average, used more toxic language than their Democratic counterparts. As campaigns’ scramble for donations intensifies, these characteristics of fundraising appeals may further polarize the electorate.","container-title":"Party Politics","DOI":"10.1177/13540688241235901","ISSN":"1354-0688, 1460-3683","issue":"3","language":"en","license":"https://journals.sagepub.com/page/policies/text-and-data-mining-license","note":"publisher: SAGE Publications","page":"549-561","source":"Crossref","title":"Donate to help us fight back: Political fundraising and toxic rhetoric online","title-short":"Donate to help us fight back","volume":"31","author":[{"family":"Kim","given":"Seo-young Silvia"},{"family":"Zilinsky","given":"Jan"},{"family":"Brew","given":"Brian"}],"issued":{"date-parts":[["2025",5]]}}}],"schema":"https://github.com/citation-style-language/schema/raw/master/csl-citation.json"} </w:instrText>
      </w:r>
      <w:r w:rsidR="00E84558">
        <w:fldChar w:fldCharType="separate"/>
      </w:r>
      <w:r w:rsidR="00E84558" w:rsidRPr="00E84558">
        <w:rPr>
          <w:kern w:val="0"/>
        </w:rPr>
        <w:t>Kim et al. 2025)</w:t>
      </w:r>
      <w:r w:rsidR="00E84558">
        <w:fldChar w:fldCharType="end"/>
      </w:r>
      <w:r w:rsidR="00A90A70">
        <w:t>.</w:t>
      </w:r>
      <w:r w:rsidR="00E84558">
        <w:t xml:space="preserve"> </w:t>
      </w:r>
      <w:r w:rsidR="002031D7">
        <w:t xml:space="preserve">Para el caso de Estados Unidos, </w:t>
      </w:r>
      <w:r w:rsidR="002031D7">
        <w:fldChar w:fldCharType="begin"/>
      </w:r>
      <w:r w:rsidR="00C74782">
        <w:instrText xml:space="preserve"> ADDIN ZOTERO_ITEM CSL_CITATION {"citationID":"D0mlU1GM","properties":{"formattedCitation":"(Stromer-Galley et\\uc0\\u160{}al. 2021)","plainCitation":"(Stromer-Galley et al. 2021)","dontUpdate":true,"noteIndex":0},"citationItems":[{"id":738,"uris":["http://zotero.org/users/9929100/items/E9BNZ925"],"itemData":{"id":738,"type":"article-journal","abstract":"Political campaigns have a temporal nature, which means that the strategic environment shapes the nature of candidate communication, especially the stages of campaigning—from surfacing to the general election. As social media platforms have matured and political campaigns have normalized their use of those platforms in this decade, this study examines the 2016 and 2020 US presidential campaign communication on Facebook and Twitter using data from the Illuminating project at Syracuse University. Our objective is to explore how the stages of the campaign cycle shape political communication. We also explore social media platforms as additional factors. Moreover, given the distinct and anti-normative communication style of Donald Trump, we examine whether his communication is an outlier relative to his competition in the primaries and the general election, and while a challenger in 2016 and an incumbent in 2020. Our results suggest that campaign messaging changes over the stages of the campaign, with candidates more likely to advocate for themselves during the crowded primaries, and then engage in high volumes of calls to action in the general election. The 2016 posts were substantially more attack-focused than in 2020. There is some evidence to suggest that the global pandemic affected the ways in which campaigns used their social media accounts. Of note, campaigns seem to heavily rely on Facebook for all types of strategic communication, even as the academic community primarily analyzes Twitter. Finally, Trump’s sum-total of his discourse is less negative than Clinton’s in 2016 and more advocacy-focused, overall.","container-title":"Social Media + Society","DOI":"10.1177/20563051211063465","ISSN":"2056-3051, 2056-3051","issue":"4","language":"en","license":"https://creativecommons.org/licenses/by-nc/4.0/","note":"publisher: SAGE Publications","source":"Crossref","title":"Political Messaging Over Time: A Comparison of US Presidential Candidate Facebook Posts and Tweets in 2016 and 2020","title-short":"Political Messaging Over Time","URL":"https://journals.sagepub.com/doi/10.1177/20563051211063465","volume":"7","author":[{"family":"Stromer-Galley","given":"Jennifer"},{"family":"Rossini","given":"Patrícia"},{"family":"Hemsley","given":"Jeff"},{"family":"Bolden","given":"Sarah E."},{"family":"McKernan","given":"Brian"}],"accessed":{"date-parts":[["2025",7,14]]},"issued":{"date-parts":[["2021",10]]}}}],"schema":"https://github.com/citation-style-language/schema/raw/master/csl-citation.json"} </w:instrText>
      </w:r>
      <w:r w:rsidR="002031D7">
        <w:fldChar w:fldCharType="separate"/>
      </w:r>
      <w:r w:rsidR="002031D7" w:rsidRPr="00A431B9">
        <w:rPr>
          <w:kern w:val="0"/>
        </w:rPr>
        <w:t>Stromer-Galley et al. (2021)</w:t>
      </w:r>
      <w:r w:rsidR="002031D7">
        <w:fldChar w:fldCharType="end"/>
      </w:r>
      <w:r w:rsidR="002031D7">
        <w:t xml:space="preserve"> sugiere que </w:t>
      </w:r>
      <w:r w:rsidR="002031D7" w:rsidRPr="00A431B9">
        <w:t>los mensajes cambian a lo largo de</w:t>
      </w:r>
      <w:r w:rsidR="002031D7">
        <w:t xml:space="preserve"> las campañas; </w:t>
      </w:r>
      <w:r w:rsidR="002031D7" w:rsidRPr="00A431B9">
        <w:t>los candidatos tienden a promocionarse más a sí mismos durante las primarias</w:t>
      </w:r>
      <w:r w:rsidR="002031D7">
        <w:t xml:space="preserve"> y luego aumentan los</w:t>
      </w:r>
      <w:r w:rsidR="002031D7" w:rsidRPr="00A431B9">
        <w:t xml:space="preserve"> llamamientos a la acción en las elecciones generales</w:t>
      </w:r>
      <w:r w:rsidR="002031D7">
        <w:t xml:space="preserve">. </w:t>
      </w:r>
      <w:r w:rsidRPr="00174482">
        <w:t xml:space="preserve">Los partidos políticos responden al </w:t>
      </w:r>
      <w:r w:rsidRPr="00D11F2C">
        <w:rPr>
          <w:i/>
          <w:iCs/>
        </w:rPr>
        <w:t>feedback</w:t>
      </w:r>
      <w:r w:rsidRPr="00174482">
        <w:t xml:space="preserve"> y comentarios de los usuarios en las redes sociales para adaptar sus estrategias temáticas, siendo más propensos a retomar un tema si este ha generado previamente una mayor participación de los usuarios (Ennser-Jedenastik et al. 2022; Thiele y Seliger 2025).</w:t>
      </w:r>
      <w:r w:rsidR="00A431B9">
        <w:t xml:space="preserve"> </w:t>
      </w:r>
    </w:p>
    <w:p w14:paraId="7455D65A" w14:textId="21EABD78" w:rsidR="00D46072" w:rsidRDefault="00174482" w:rsidP="00067E0C">
      <w:pPr>
        <w:spacing w:after="0" w:line="480" w:lineRule="auto"/>
        <w:ind w:firstLine="708"/>
      </w:pPr>
      <w:r>
        <w:t>Segmentar la audiencia</w:t>
      </w:r>
      <w:r w:rsidR="00E84558">
        <w:t xml:space="preserve"> lleva </w:t>
      </w:r>
      <w:r w:rsidR="007A57CF">
        <w:t>a que cierta parte de la población no</w:t>
      </w:r>
      <w:r w:rsidR="007A57CF" w:rsidRPr="007A57CF">
        <w:t xml:space="preserve"> est</w:t>
      </w:r>
      <w:r w:rsidR="00E84558">
        <w:t>e</w:t>
      </w:r>
      <w:r w:rsidR="007A57CF" w:rsidRPr="007A57CF">
        <w:t xml:space="preserve"> expuest</w:t>
      </w:r>
      <w:r w:rsidR="00E84558">
        <w:t>a</w:t>
      </w:r>
      <w:r w:rsidR="007A57CF" w:rsidRPr="007A57CF">
        <w:t xml:space="preserve"> a promesas específicas </w:t>
      </w:r>
      <w:r w:rsidR="007A57CF">
        <w:t>de campaña si</w:t>
      </w:r>
      <w:r w:rsidR="007A57CF" w:rsidRPr="007A57CF">
        <w:t xml:space="preserve"> el anunciante </w:t>
      </w:r>
      <w:r w:rsidR="007A57CF">
        <w:t>o</w:t>
      </w:r>
      <w:r w:rsidR="007A57CF" w:rsidRPr="007A57CF">
        <w:t xml:space="preserve"> el algoritmo l</w:t>
      </w:r>
      <w:r w:rsidR="007A57CF">
        <w:t>o</w:t>
      </w:r>
      <w:r w:rsidR="007A57CF" w:rsidRPr="007A57CF">
        <w:t xml:space="preserve"> considera</w:t>
      </w:r>
      <w:r w:rsidR="007A57CF">
        <w:t xml:space="preserve">. </w:t>
      </w:r>
      <w:r w:rsidR="007A57CF" w:rsidRPr="007A57CF">
        <w:t xml:space="preserve">La falta de transparencia en torno a las promesas </w:t>
      </w:r>
      <w:r w:rsidR="00F71249">
        <w:t xml:space="preserve">de los candidatos </w:t>
      </w:r>
      <w:r w:rsidR="007A57CF">
        <w:t xml:space="preserve">genera el posible riesgo de subrepresentar ciertos grupos y atenta contra </w:t>
      </w:r>
      <w:r w:rsidR="007A57CF" w:rsidRPr="007A57CF">
        <w:t>el derecho a la información de aquellos que no son destinatarios</w:t>
      </w:r>
      <w:r w:rsidR="001800B4">
        <w:t xml:space="preserve"> </w:t>
      </w:r>
      <w:r w:rsidR="001800B4">
        <w:fldChar w:fldCharType="begin"/>
      </w:r>
      <w:r w:rsidR="001800B4">
        <w:instrText xml:space="preserve"> ADDIN ZOTERO_ITEM CSL_CITATION {"citationID":"gDj8NGrS","properties":{"formattedCitation":"(Bayer 2020; Dobber y de Vreese 2022)","plainCitation":"(Bayer 2020; Dobber y de Vreese 2022)","noteIndex":0},"citationItems":[{"id":2173,"uris":["http://zotero.org/users/9929100/items/EK2HV8HP"],"itemData":{"id":2173,"type":"article-journal","container-title":"Internet Policy Review","DOI":"10.14763/2020.1.1460","ISSN":"2197-6775","issue":"1","language":"en","source":"DOI.org (Crossref)","title":"Double harm to voters: data-driven micro-targeting and democratic public discourse","title-short":"Double harm to voters","URL":"https://policyreview.info/node/1460","volume":"9","author":[{"family":"Bayer","given":"Judit"}],"accessed":{"date-parts":[["2025",11,6]]},"issued":{"date-parts":[["2020",3,31]]}}},{"id":728,"uris":["http://zotero.org/users/9929100/items/WGBJE86C"],"itemData":{"id":728,"type":"article-journal","container-title":"Big Data &amp; Society","DOI":"10.1177/20539517221095433","language":"en","source":"dare.uva.nl","title":"Beyond manifestos: Exploring how political campaigns use online advertisements to communicate policy information and pledges","title-short":"Beyond manifestos","URL":"https://dare.uva.nl/search?identifier=99371712-ba3f-4ede-b8be-00cb2c3042bf","volume":"9","author":[{"family":"Dobber","given":"T."},{"family":"Vreese","given":"C.","non-dropping-particle":"de"}],"accessed":{"date-parts":[["2025",7,14]]},"issued":{"date-parts":[["2022"]]}}}],"schema":"https://github.com/citation-style-language/schema/raw/master/csl-citation.json"} </w:instrText>
      </w:r>
      <w:r w:rsidR="001800B4">
        <w:fldChar w:fldCharType="separate"/>
      </w:r>
      <w:r w:rsidR="001800B4" w:rsidRPr="001800B4">
        <w:t>(Bayer 2020; Dobber y de Vreese 2022)</w:t>
      </w:r>
      <w:r w:rsidR="001800B4">
        <w:fldChar w:fldCharType="end"/>
      </w:r>
      <w:r w:rsidR="007A57CF" w:rsidRPr="007A57CF">
        <w:t>.</w:t>
      </w:r>
      <w:r>
        <w:t xml:space="preserve"> No todas las </w:t>
      </w:r>
      <w:r w:rsidR="00C942DB">
        <w:t>prácticas</w:t>
      </w:r>
      <w:r>
        <w:t xml:space="preserve"> de microtargeting son </w:t>
      </w:r>
      <w:r w:rsidR="00CC58DD">
        <w:t>percibidas</w:t>
      </w:r>
      <w:r>
        <w:t xml:space="preserve"> de la misma manera</w:t>
      </w:r>
      <w:r w:rsidR="00CC58DD">
        <w:t>.</w:t>
      </w:r>
      <w:r>
        <w:t xml:space="preserve"> </w:t>
      </w:r>
      <w:r>
        <w:fldChar w:fldCharType="begin"/>
      </w:r>
      <w:r w:rsidR="00C74782">
        <w:instrText xml:space="preserve"> ADDIN ZOTERO_ITEM CSL_CITATION {"citationID":"zSoo1M1K","properties":{"formattedCitation":"(Bon et\\uc0\\u160{}al. 2024)","plainCitation":"(Bon et al. 2024)","dontUpdate":true,"noteIndex":0},"citationItems":[{"id":1273,"uris":["http://zotero.org/users/9929100/items/C9EEH8NJ"],"itemData":{"id":1273,"type":"article-journal","abstract":"Much of the research on political microtargeting has focused on growing public concerns about its use in elections, fuelling calls for greater regulation or even a ban on the practice. We contend that a more nuanced understanding of public attitudes toward microtargeting is required before further regulation is considered. Drawing on advertising psychology research and the results of academic analyses into microtargeting, we argue that individual concern, and by corollary, acceptance of microtargeting will vary based on socio‐demographic characteristics and political orientations, and the type of personal data used. We hypothesise that microtargeting that relies on observable or publicly accessible personal information will be more accepted by voters than that which uses unobserved and inferred traits. We test these expectations and the expected variance of public acceptance by individual characteristics using comparative survey data from the US, Germany, and the Netherlands. We find that across countries and socio‐demographic groups, not all microtargeting is considered equally problematic. For example, whereas the use of age and gender is generally deemed acceptable, the use of sexual orientation is not, and right‐leaning individuals are more accepting than those who lean left. Additionally, overall, the US is more accepting of microtargeting than Germany or the Netherlands. Thus, we find that not all microtargeting is considered equally problematic across countries and socio‐demographic groups. We conclude by calling for a more contextualised debate about the benefits and costs of political microtargeting and its use of “sensitive” data before the expansion of current regulation.","container-title":"Media and Communication","DOI":"10.17645/mac.8520","ISSN":"2183-2439","journalAbbreviation":"MaC","language":"en","license":"https://creativecommons.org/licenses/by/4.0","page":"8520","source":"DOI.org (Crossref)","title":"Are Certain Types of Microtargeting More Acceptable? Comparing US, German, and Dutch Citizens’ Attitudes","title-short":"Are Certain Types of Microtargeting More Acceptable?","volume":"12","author":[{"family":"Bon","given":"Esmeralda"},{"family":"Dommett","given":"Katharine"},{"family":"Gibson","given":"Rachel"},{"family":"Kruikemeier","given":"Sanne"},{"family":"Lecheler","given":"Sophie"}],"issued":{"date-parts":[["2024",10,31]]}}}],"schema":"https://github.com/citation-style-language/schema/raw/master/csl-citation.json"} </w:instrText>
      </w:r>
      <w:r>
        <w:fldChar w:fldCharType="separate"/>
      </w:r>
      <w:r w:rsidRPr="00174482">
        <w:rPr>
          <w:kern w:val="0"/>
        </w:rPr>
        <w:t xml:space="preserve">Bon et al. </w:t>
      </w:r>
      <w:r w:rsidR="00CC58DD" w:rsidRPr="00174482">
        <w:rPr>
          <w:kern w:val="0"/>
        </w:rPr>
        <w:t>(</w:t>
      </w:r>
      <w:r w:rsidRPr="00174482">
        <w:rPr>
          <w:kern w:val="0"/>
        </w:rPr>
        <w:t>2024)</w:t>
      </w:r>
      <w:r>
        <w:fldChar w:fldCharType="end"/>
      </w:r>
      <w:r w:rsidR="00CC58DD">
        <w:t xml:space="preserve"> concluyen</w:t>
      </w:r>
      <w:r w:rsidR="00CC58DD" w:rsidRPr="00CC58DD">
        <w:t xml:space="preserve"> que</w:t>
      </w:r>
      <w:r w:rsidR="00CC58DD">
        <w:t xml:space="preserve"> la aceptación de estas prácticas varía a través de países, grupos sociodemográficos e ideológicos. No se </w:t>
      </w:r>
      <w:r w:rsidR="00CC58DD" w:rsidRPr="00CC58DD">
        <w:t>considera igualmente problemático</w:t>
      </w:r>
      <w:r w:rsidR="00CC58DD">
        <w:t xml:space="preserve"> segmentar</w:t>
      </w:r>
      <w:r w:rsidR="00CC58DD" w:rsidRPr="00CC58DD">
        <w:t xml:space="preserve"> </w:t>
      </w:r>
      <w:r w:rsidR="00A431B9">
        <w:t xml:space="preserve">por </w:t>
      </w:r>
      <w:r w:rsidR="00CC58DD" w:rsidRPr="00CC58DD">
        <w:t xml:space="preserve">edad y género </w:t>
      </w:r>
      <w:r w:rsidR="00CC58DD">
        <w:t xml:space="preserve">que </w:t>
      </w:r>
      <w:r w:rsidR="00CC58DD">
        <w:lastRenderedPageBreak/>
        <w:t>por</w:t>
      </w:r>
      <w:r w:rsidR="00CC58DD" w:rsidRPr="00CC58DD">
        <w:t xml:space="preserve"> la orientación sexual y las personas de ideología conservadora </w:t>
      </w:r>
      <w:r w:rsidR="00CC58DD">
        <w:t>tienden a</w:t>
      </w:r>
      <w:r w:rsidR="00CC58DD" w:rsidRPr="00CC58DD">
        <w:t xml:space="preserve"> aceptar</w:t>
      </w:r>
      <w:r w:rsidR="00CC58DD">
        <w:t xml:space="preserve"> </w:t>
      </w:r>
      <w:r w:rsidR="00CC58DD" w:rsidRPr="00CC58DD">
        <w:t xml:space="preserve">más </w:t>
      </w:r>
      <w:r w:rsidR="00CC58DD">
        <w:t xml:space="preserve">el microtargeting </w:t>
      </w:r>
      <w:r w:rsidR="00CC58DD" w:rsidRPr="00CC58DD">
        <w:t>que las de ideología progresista.</w:t>
      </w:r>
    </w:p>
    <w:p w14:paraId="59EAC0CB" w14:textId="0FF12E40" w:rsidR="00BB0CB4" w:rsidRDefault="006368C2" w:rsidP="00067E0C">
      <w:pPr>
        <w:spacing w:after="0" w:line="480" w:lineRule="auto"/>
        <w:ind w:firstLine="708"/>
      </w:pPr>
      <w:r>
        <w:t xml:space="preserve">Las redes sociales están cumpliendo un rol importante en la </w:t>
      </w:r>
      <w:r w:rsidR="00C74782">
        <w:t>expansión de la polarización</w:t>
      </w:r>
      <w:r w:rsidR="00DE7B3F">
        <w:t xml:space="preserve"> en la población. </w:t>
      </w:r>
      <w:r w:rsidR="00C74782">
        <w:t xml:space="preserve"> </w:t>
      </w:r>
      <w:r w:rsidR="00A90A70">
        <w:t xml:space="preserve">Según </w:t>
      </w:r>
      <w:r w:rsidR="00A90A70">
        <w:fldChar w:fldCharType="begin"/>
      </w:r>
      <w:r w:rsidR="00A90A70">
        <w:instrText xml:space="preserve"> ADDIN ZOTERO_ITEM CSL_CITATION {"citationID":"lzUB7DXh","properties":{"formattedCitation":"(Barber\\uc0\\u225{} et\\uc0\\u160{}al. 2015)","plainCitation":"(Barberá et al. 2015)","dontUpdate":true,"noteIndex":0},"citationItems":[{"id":2245,"uris":["http://zotero.org/users/9929100/items/HJEEB92D"],"itemData":{"id":2245,"type":"article-journal","abstract":"We estimated ideological preferences of 3.8 million Twitter users and, using a data set of nearly 150 million tweets concerning 12 political and nonpolitical issues, explored whether online communication resembles an “echo chamber” (as a result of selective exposure and ideological segregation) or a “national conversation.” We observed that information was exchanged primarily among individuals with similar ideological preferences in the case of political issues (e.g., 2012 presidential election, 2013 government shutdown) but not many other current events (e.g., 2013 Boston Marathon bombing, 2014 Super Bowl). Discussion of the Newtown shootings in 2012 reflected a dynamic process, beginning as a national conversation before transforming into a polarized exchange. With respect to both political and nonpolitical issues, liberals were more likely than conservatives to engage in cross-ideological dissemination; this is an important asymmetry with respect to the structure of communication that is consistent with psychological theory and research bearing on ideological differences in epistemic, existential, and relational motivation. Overall, we conclude that previous work may have overestimated the degree of ideological segregation in social-media usage. (PsycINFO Database Record (c) 2019 APA, all rights reserved)","container-title":"Psychological Science","DOI":"10.1177/0956797615594620","ISSN":"1467-9280","issue":"10","note":"publisher-place: US\npublisher: Sage Publications","page":"1531-1542","source":"APA PsycNet","title":"Tweeting from left to right: Is online political communication more than an echo chamber?","title-short":"Tweeting from left to right","volume":"26","author":[{"family":"Barberá","given":"Pablo"},{"family":"Jost","given":"John T."},{"family":"Nagler","given":"Jonathan"},{"family":"Tucker","given":"Joshua A."},{"family":"Bonneau","given":"Richard"}],"issued":{"date-parts":[["2015"]]}}}],"schema":"https://github.com/citation-style-language/schema/raw/master/csl-citation.json"} </w:instrText>
      </w:r>
      <w:r w:rsidR="00A90A70">
        <w:fldChar w:fldCharType="separate"/>
      </w:r>
      <w:r w:rsidR="00A90A70" w:rsidRPr="00DE7B3F">
        <w:rPr>
          <w:kern w:val="0"/>
        </w:rPr>
        <w:t>Barberá et al. (2015)</w:t>
      </w:r>
      <w:r w:rsidR="00A90A70">
        <w:fldChar w:fldCharType="end"/>
      </w:r>
      <w:r w:rsidR="00A90A70">
        <w:t xml:space="preserve"> c</w:t>
      </w:r>
      <w:r w:rsidR="00A90A70" w:rsidRPr="00DE7B3F">
        <w:t>erca del 75 % de los retuits sobre temas políticos se producen entre usuarios con opiniones ideológicas similares</w:t>
      </w:r>
      <w:r w:rsidR="00A90A70">
        <w:t>. La polarización no es necesariamente mala, pero conlleva riesgos a la gobernanza y al debate democrático. S</w:t>
      </w:r>
      <w:r w:rsidR="00DE7B3F">
        <w:t xml:space="preserve">e ve reflejada en expresiones de desagrado profundo por los adversarios, </w:t>
      </w:r>
      <w:r w:rsidR="00A90A70">
        <w:t>donde se refuerzan</w:t>
      </w:r>
      <w:r w:rsidR="00DE7B3F" w:rsidRPr="00DE7B3F">
        <w:t xml:space="preserve"> las opiniones sesgadas de los partidarios sobre sus oponentes</w:t>
      </w:r>
      <w:r w:rsidR="00DE7B3F">
        <w:t xml:space="preserve"> </w:t>
      </w:r>
      <w:r w:rsidR="00DE7B3F">
        <w:fldChar w:fldCharType="begin"/>
      </w:r>
      <w:r w:rsidR="00DE7B3F">
        <w:instrText xml:space="preserve"> ADDIN ZOTERO_ITEM CSL_CITATION {"citationID":"oMEyKsMi","properties":{"formattedCitation":"(Iyengar et\\uc0\\u160{}al. 2012)","plainCitation":"(Iyengar et al. 2012)","noteIndex":0},"citationItems":[{"id":2135,"uris":["http://zotero.org/users/9929100/items/UU8A5S72"],"itemData":{"id":2135,"type":"article-journal","container-title":"Public Opinion Quarterly","DOI":"10.1093/poq/nfs038","ISSN":"0033-362X, 1537-5331","issue":"3","language":"en","page":"405-431","source":"DOI.org (Crossref)","title":"Affect, Not Ideology","volume":"76","author":[{"family":"Iyengar","given":"Shanto"},{"family":"Sood","given":"Gaurav"},{"family":"Lelkes","given":"Yphtach"}],"issued":{"date-parts":[["2012",9,1]]}}}],"schema":"https://github.com/citation-style-language/schema/raw/master/csl-citation.json"} </w:instrText>
      </w:r>
      <w:r w:rsidR="00DE7B3F">
        <w:fldChar w:fldCharType="separate"/>
      </w:r>
      <w:r w:rsidR="00DE7B3F" w:rsidRPr="00DE7B3F">
        <w:rPr>
          <w:kern w:val="0"/>
        </w:rPr>
        <w:t>(Iyengar et al. 2012)</w:t>
      </w:r>
      <w:r w:rsidR="00DE7B3F">
        <w:fldChar w:fldCharType="end"/>
      </w:r>
      <w:r w:rsidR="00DE7B3F">
        <w:t>.</w:t>
      </w:r>
      <w:r w:rsidR="00A90A70">
        <w:t xml:space="preserve"> </w:t>
      </w:r>
      <w:r w:rsidR="007F154D">
        <w:t>H</w:t>
      </w:r>
      <w:r w:rsidR="007F154D" w:rsidRPr="007F154D">
        <w:t>ace que los votantes no reconozcan los méritos de</w:t>
      </w:r>
      <w:r w:rsidR="00E72CBA">
        <w:t xml:space="preserve"> las candidaturas</w:t>
      </w:r>
      <w:r w:rsidR="007F154D" w:rsidRPr="007F154D">
        <w:t xml:space="preserve"> del partido contrario</w:t>
      </w:r>
      <w:r w:rsidR="009C0E52">
        <w:t xml:space="preserve"> ni </w:t>
      </w:r>
      <w:r w:rsidR="007F154D">
        <w:t>que</w:t>
      </w:r>
      <w:r w:rsidR="007F154D" w:rsidRPr="007F154D">
        <w:t xml:space="preserve"> no penalicen a </w:t>
      </w:r>
      <w:r w:rsidR="00E72CBA">
        <w:t xml:space="preserve">las candidaturas </w:t>
      </w:r>
      <w:r w:rsidR="007F154D" w:rsidRPr="007F154D">
        <w:t>de su propio partido</w:t>
      </w:r>
      <w:r w:rsidR="009C0E52">
        <w:t>,</w:t>
      </w:r>
      <w:r w:rsidR="007F154D">
        <w:t xml:space="preserve"> limita la capacidad de cooperación entre actores para proporcionar bienes públicos </w:t>
      </w:r>
      <w:r w:rsidR="009C0E52">
        <w:t xml:space="preserve">y aumenta la </w:t>
      </w:r>
      <w:r w:rsidR="009C0E52" w:rsidRPr="009C0E52">
        <w:t xml:space="preserve">desconfianza hacia los funcionarios públicos, los medios de comunicación y </w:t>
      </w:r>
      <w:r w:rsidR="009C0E52">
        <w:t>otros</w:t>
      </w:r>
      <w:r w:rsidR="009C0E52" w:rsidRPr="009C0E52">
        <w:t xml:space="preserve"> ciudadanos del otro lado del espectro</w:t>
      </w:r>
      <w:r w:rsidR="00A90A70">
        <w:t xml:space="preserve"> </w:t>
      </w:r>
      <w:r w:rsidR="00A90A70">
        <w:fldChar w:fldCharType="begin"/>
      </w:r>
      <w:r w:rsidR="00A90A70">
        <w:instrText xml:space="preserve"> ADDIN ZOTERO_ITEM CSL_CITATION {"citationID":"yILoW4Xv","properties":{"formattedCitation":"(Sunstein 2018)","plainCitation":"(Sunstein 2018)","noteIndex":0},"citationItems":[{"id":2241,"uris":["http://zotero.org/users/9929100/items/T94G3PQI"],"itemData":{"id":2241,"type":"book","ISBN":"978-1-4008-9052-1","note":"DOI: 10.2307/j.ctv8xnhtd","publisher":"Princeton University Press","source":"DOI.org (Crossref)","title":"#Republic: Divided Democracy in the Age of Social Media","title-short":"#Republic","URL":"http://www.jstor.org/stable/10.2307/j.ctv8xnhtd","author":[{"family":"Sunstein","given":"Cass R."}],"accessed":{"date-parts":[["2025",11,10]]},"issued":{"date-parts":[["2018",4,3]]}}}],"schema":"https://github.com/citation-style-language/schema/raw/master/csl-citation.json"} </w:instrText>
      </w:r>
      <w:r w:rsidR="00A90A70">
        <w:fldChar w:fldCharType="separate"/>
      </w:r>
      <w:r w:rsidR="00A90A70" w:rsidRPr="00A90A70">
        <w:t>(Sunstein 2018)</w:t>
      </w:r>
      <w:r w:rsidR="00A90A70">
        <w:fldChar w:fldCharType="end"/>
      </w:r>
      <w:r w:rsidR="009C0E52">
        <w:t xml:space="preserve">. </w:t>
      </w:r>
    </w:p>
    <w:p w14:paraId="5745FEF0" w14:textId="77777777" w:rsidR="002C78E2" w:rsidRPr="002C78E2" w:rsidRDefault="002C78E2" w:rsidP="00067E0C">
      <w:pPr>
        <w:spacing w:after="0" w:line="480" w:lineRule="auto"/>
        <w:ind w:firstLine="708"/>
      </w:pPr>
    </w:p>
    <w:p w14:paraId="63A69649" w14:textId="268202C6" w:rsidR="00F5688B" w:rsidRDefault="005E74B7" w:rsidP="00067E0C">
      <w:pPr>
        <w:pStyle w:val="Ttulo2"/>
        <w:spacing w:before="0" w:after="0" w:line="480" w:lineRule="auto"/>
        <w:rPr>
          <w:rFonts w:cs="Times New Roman"/>
          <w:szCs w:val="24"/>
        </w:rPr>
      </w:pPr>
      <w:r>
        <w:rPr>
          <w:rFonts w:cs="Times New Roman"/>
          <w:szCs w:val="24"/>
        </w:rPr>
        <w:t xml:space="preserve">Las etapas </w:t>
      </w:r>
      <w:r w:rsidR="00253E1F">
        <w:rPr>
          <w:rFonts w:cs="Times New Roman"/>
          <w:szCs w:val="24"/>
        </w:rPr>
        <w:t>de</w:t>
      </w:r>
      <w:r>
        <w:rPr>
          <w:rFonts w:cs="Times New Roman"/>
          <w:szCs w:val="24"/>
        </w:rPr>
        <w:t xml:space="preserve">l ciclo electoral </w:t>
      </w:r>
      <w:r w:rsidR="00253E1F">
        <w:rPr>
          <w:rFonts w:cs="Times New Roman"/>
          <w:szCs w:val="24"/>
        </w:rPr>
        <w:t>en Uruguay</w:t>
      </w:r>
    </w:p>
    <w:p w14:paraId="06CDA220" w14:textId="77777777" w:rsidR="005E74B7" w:rsidRPr="005E74B7" w:rsidRDefault="005E74B7" w:rsidP="00067E0C">
      <w:pPr>
        <w:spacing w:after="0" w:line="480" w:lineRule="auto"/>
      </w:pPr>
    </w:p>
    <w:p w14:paraId="55616E33" w14:textId="602E12A0" w:rsidR="005E74B7" w:rsidRDefault="005E74B7" w:rsidP="00067E0C">
      <w:pPr>
        <w:spacing w:after="0" w:line="480" w:lineRule="auto"/>
        <w:ind w:firstLine="708"/>
      </w:pPr>
      <w:r>
        <w:t xml:space="preserve">El sistema electoral uruguayo determina que las elecciones nacionales se realicen en tres etapas: </w:t>
      </w:r>
      <w:r w:rsidRPr="0080590C">
        <w:t>elecciones internas</w:t>
      </w:r>
      <w:r>
        <w:t xml:space="preserve"> o primarias (para seleccionar candidaturas presidenciales únicas en cada partido)</w:t>
      </w:r>
      <w:r w:rsidR="003323BA">
        <w:t xml:space="preserve"> con voto voluntario</w:t>
      </w:r>
      <w:r w:rsidRPr="0080590C">
        <w:t xml:space="preserve">, </w:t>
      </w:r>
      <w:r>
        <w:t xml:space="preserve">elecciones nacionales (Senado, Cámara de Representantes y </w:t>
      </w:r>
      <w:r w:rsidRPr="0080590C">
        <w:t>primera vuelta</w:t>
      </w:r>
      <w:r>
        <w:t xml:space="preserve"> de la elección presidencial)</w:t>
      </w:r>
      <w:r w:rsidRPr="0080590C">
        <w:t xml:space="preserve"> y</w:t>
      </w:r>
      <w:r>
        <w:t>,</w:t>
      </w:r>
      <w:r w:rsidRPr="0080590C">
        <w:t xml:space="preserve"> </w:t>
      </w:r>
      <w:r>
        <w:t xml:space="preserve">en caso de que ninguna fórmula presidencial obtenga la mayoría más uno de los votantes, una </w:t>
      </w:r>
      <w:r w:rsidRPr="0080590C">
        <w:t xml:space="preserve">segunda vuelta </w:t>
      </w:r>
      <w:r>
        <w:t>presidencial entre las dos fórmulas más votadas</w:t>
      </w:r>
      <w:r w:rsidR="003323BA">
        <w:t>, ambas con voto obligatorio</w:t>
      </w:r>
      <w:r>
        <w:t xml:space="preserve">. Las diferentes etapas combinan diferentes elecciones con </w:t>
      </w:r>
      <w:r w:rsidRPr="0080590C">
        <w:t xml:space="preserve">reglas y contextos de competencia distintos. Estas diferencias generan variaciones significativas en los </w:t>
      </w:r>
      <w:r w:rsidRPr="0080590C">
        <w:lastRenderedPageBreak/>
        <w:t>objetivos de las campañas y en sus estrategias publicitarias y de publicidad política digital.</w:t>
      </w:r>
    </w:p>
    <w:p w14:paraId="38A04729" w14:textId="7FE423DA" w:rsidR="00E56D00" w:rsidRPr="0080590C" w:rsidRDefault="00E56D00" w:rsidP="00067E0C">
      <w:pPr>
        <w:spacing w:after="0" w:line="480" w:lineRule="auto"/>
        <w:ind w:firstLine="708"/>
      </w:pPr>
      <w:r w:rsidRPr="0080590C">
        <w:t xml:space="preserve">Una de las maneras de analizar las campañas en cada una de las etapas del ciclo electoral es a través de la función comunicativa que tienen. Es decir, qué propósito persiguen </w:t>
      </w:r>
      <w:r w:rsidR="00091551">
        <w:t xml:space="preserve">las </w:t>
      </w:r>
      <w:r w:rsidRPr="0080590C">
        <w:t xml:space="preserve">campañas y que estilos y formas promueven. Denton et al. (2008) identifican en el ciclo electoral estadounidense cuatro etapas que caracterizan como </w:t>
      </w:r>
      <w:r w:rsidR="000B79D6">
        <w:rPr>
          <w:i/>
          <w:iCs/>
        </w:rPr>
        <w:t>p</w:t>
      </w:r>
      <w:r w:rsidRPr="0080590C">
        <w:rPr>
          <w:i/>
          <w:iCs/>
        </w:rPr>
        <w:t>reprimary, primary, convention, and general election.</w:t>
      </w:r>
      <w:r w:rsidRPr="0080590C">
        <w:t xml:space="preserve"> Cada etapa cumple un </w:t>
      </w:r>
      <w:r w:rsidRPr="000B79D6">
        <w:t>propósito</w:t>
      </w:r>
      <w:r w:rsidRPr="0080590C">
        <w:t xml:space="preserve"> electoral distinto, directamente ligado a la evolución de las campañas. </w:t>
      </w:r>
      <w:r w:rsidR="000B79D6">
        <w:t>E</w:t>
      </w:r>
      <w:r w:rsidRPr="0080590C">
        <w:t xml:space="preserve">sta categorización </w:t>
      </w:r>
      <w:r w:rsidR="000B79D6">
        <w:t>puede</w:t>
      </w:r>
      <w:r w:rsidRPr="0080590C">
        <w:t xml:space="preserve"> </w:t>
      </w:r>
      <w:r w:rsidR="000B79D6">
        <w:t xml:space="preserve">adaptarse para analizar las diferentes etapas del ciclo </w:t>
      </w:r>
      <w:r w:rsidRPr="0080590C">
        <w:t xml:space="preserve">electoral uruguayo. </w:t>
      </w:r>
    </w:p>
    <w:p w14:paraId="73C42F6D" w14:textId="55ED38E3" w:rsidR="0072317B" w:rsidRPr="0080590C" w:rsidRDefault="00E56D00" w:rsidP="00067E0C">
      <w:pPr>
        <w:spacing w:after="0" w:line="480" w:lineRule="auto"/>
        <w:ind w:firstLine="708"/>
      </w:pPr>
      <w:r w:rsidRPr="0080590C">
        <w:t>La</w:t>
      </w:r>
      <w:r w:rsidR="00594796">
        <w:t xml:space="preserve"> etapa</w:t>
      </w:r>
      <w:r w:rsidRPr="0080590C">
        <w:t xml:space="preserve"> pre</w:t>
      </w:r>
      <w:r w:rsidR="000B79D6">
        <w:t>-</w:t>
      </w:r>
      <w:r w:rsidRPr="0080590C">
        <w:t xml:space="preserve">primaria, también llamada </w:t>
      </w:r>
      <w:r w:rsidRPr="000B79D6">
        <w:rPr>
          <w:i/>
          <w:iCs/>
        </w:rPr>
        <w:t>surfacing</w:t>
      </w:r>
      <w:r w:rsidRPr="0080590C">
        <w:t>, comienza antes de la definición</w:t>
      </w:r>
      <w:r w:rsidR="00594796">
        <w:t xml:space="preserve"> oficial </w:t>
      </w:r>
      <w:r w:rsidRPr="0080590C">
        <w:t>de l</w:t>
      </w:r>
      <w:r w:rsidR="00594796">
        <w:t>a</w:t>
      </w:r>
      <w:r w:rsidRPr="0080590C">
        <w:t xml:space="preserve">s </w:t>
      </w:r>
      <w:r w:rsidR="00594796">
        <w:t xml:space="preserve">candidaturas </w:t>
      </w:r>
      <w:r w:rsidRPr="0080590C">
        <w:t>a las elecciones internas con la emergencia de l</w:t>
      </w:r>
      <w:r w:rsidR="00594796">
        <w:t>o</w:t>
      </w:r>
      <w:r w:rsidRPr="0080590C">
        <w:t xml:space="preserve">s posibles </w:t>
      </w:r>
      <w:r w:rsidR="00594796">
        <w:t>aspirantes</w:t>
      </w:r>
      <w:r w:rsidR="00594796" w:rsidRPr="0080590C">
        <w:t xml:space="preserve">. </w:t>
      </w:r>
      <w:r w:rsidRPr="0080590C">
        <w:t>No es posible delimitar una fecha exacta de comienzo de etapa ya que esto varía de candidato a candidato y entre partidos. En esta etapa los aspirantes deben mostrar su nivel de visibilidad y credibilidad, así como determinar con qué respaldo financiero y fortaleza organizativa cuentan</w:t>
      </w:r>
      <w:r w:rsidR="00C62406">
        <w:t xml:space="preserve">. </w:t>
      </w:r>
      <w:r w:rsidRPr="0080590C">
        <w:t xml:space="preserve">Según Denton et al. (2008) </w:t>
      </w:r>
      <w:r w:rsidR="00C62406">
        <w:t>e</w:t>
      </w:r>
      <w:r w:rsidRPr="0080590C">
        <w:t xml:space="preserve">ntre los objetivos comunicacionales de la etapa de </w:t>
      </w:r>
      <w:r w:rsidRPr="00594796">
        <w:rPr>
          <w:i/>
          <w:iCs/>
        </w:rPr>
        <w:t>surfacing</w:t>
      </w:r>
      <w:r w:rsidRPr="0080590C">
        <w:t xml:space="preserve"> el candidato buscará demostrar su valor para ocupar el cargo, señalando cualidades positivas de su </w:t>
      </w:r>
      <w:r w:rsidR="00C62406" w:rsidRPr="0080590C">
        <w:t>imagen,</w:t>
      </w:r>
      <w:r w:rsidR="00C62406">
        <w:t xml:space="preserve"> así como su capacidad para marcar agenda en temas de política pública. </w:t>
      </w:r>
      <w:r w:rsidR="0072317B">
        <w:t>En Uruguay este es un proceso que</w:t>
      </w:r>
      <w:r w:rsidR="00C62406">
        <w:t>,</w:t>
      </w:r>
      <w:r w:rsidR="0072317B">
        <w:t xml:space="preserve"> dada la importancia de las estructuras partidarias</w:t>
      </w:r>
      <w:r w:rsidR="00C62406">
        <w:t>,</w:t>
      </w:r>
      <w:r w:rsidR="0072317B">
        <w:t xml:space="preserve"> tiene un enfoque menos público y más centrado en la interna de los partidos donde se busca conseguir apoyo de dirigentes nacionales y locales del partido.</w:t>
      </w:r>
      <w:r w:rsidR="009215D4">
        <w:t xml:space="preserve"> </w:t>
      </w:r>
      <w:r w:rsidR="009215D4" w:rsidRPr="009215D4">
        <w:t>Se espera que en la etapa pre-primarias predominen anuncios de imagen del candidato</w:t>
      </w:r>
      <w:r w:rsidR="009215D4">
        <w:t>.</w:t>
      </w:r>
    </w:p>
    <w:p w14:paraId="03FB8F1E" w14:textId="0B5EE8FB" w:rsidR="00E56D00" w:rsidRDefault="00594796" w:rsidP="00067E0C">
      <w:pPr>
        <w:spacing w:after="0" w:line="480" w:lineRule="auto"/>
        <w:ind w:firstLine="708"/>
      </w:pPr>
      <w:r>
        <w:t xml:space="preserve">Luego de la etapa de </w:t>
      </w:r>
      <w:r w:rsidRPr="00DE500B">
        <w:rPr>
          <w:i/>
          <w:iCs/>
        </w:rPr>
        <w:t>surfacing</w:t>
      </w:r>
      <w:r w:rsidR="00DE500B">
        <w:t>,</w:t>
      </w:r>
      <w:r>
        <w:t xml:space="preserve"> una vez oficializadas las precandidaturas presidenciales</w:t>
      </w:r>
      <w:r w:rsidR="00DE500B">
        <w:t>,</w:t>
      </w:r>
      <w:r w:rsidR="0072317B">
        <w:t xml:space="preserve"> comienza la etapa de primarias.</w:t>
      </w:r>
      <w:r w:rsidR="00E56D00" w:rsidRPr="0080590C">
        <w:t xml:space="preserve"> </w:t>
      </w:r>
      <w:r w:rsidR="0072317B">
        <w:t>E</w:t>
      </w:r>
      <w:r w:rsidR="00E56D00" w:rsidRPr="0080590C">
        <w:t xml:space="preserve">sta etapa </w:t>
      </w:r>
      <w:r w:rsidR="0072317B">
        <w:t xml:space="preserve">supone competir </w:t>
      </w:r>
      <w:r w:rsidR="00E56D00" w:rsidRPr="0080590C">
        <w:t xml:space="preserve">por ser el </w:t>
      </w:r>
      <w:r w:rsidR="00E56D00" w:rsidRPr="0080590C">
        <w:lastRenderedPageBreak/>
        <w:t xml:space="preserve">candidato </w:t>
      </w:r>
      <w:r w:rsidR="0072317B">
        <w:t>presidencial único del partido.</w:t>
      </w:r>
      <w:r w:rsidR="00E56D00" w:rsidRPr="0080590C">
        <w:t xml:space="preserve"> </w:t>
      </w:r>
      <w:r w:rsidR="00DE500B">
        <w:t>En Uruguay</w:t>
      </w:r>
      <w:r w:rsidR="00C62406">
        <w:t>,</w:t>
      </w:r>
      <w:r w:rsidR="00DE500B">
        <w:t xml:space="preserve"> </w:t>
      </w:r>
      <w:r w:rsidR="00C62406">
        <w:t>en particular en el Partido Colorado y el Partido Nacional, las internas</w:t>
      </w:r>
      <w:r w:rsidR="0072317B">
        <w:t xml:space="preserve"> también </w:t>
      </w:r>
      <w:r w:rsidR="00C62406">
        <w:t xml:space="preserve">se utilizan para definir </w:t>
      </w:r>
      <w:r w:rsidR="00DE500B">
        <w:t>otros cargos</w:t>
      </w:r>
      <w:r w:rsidR="00C62406">
        <w:t xml:space="preserve"> </w:t>
      </w:r>
      <w:r w:rsidR="00C62406" w:rsidRPr="008C67CB">
        <w:t>(Queirolo et al. 2015</w:t>
      </w:r>
      <w:r w:rsidR="00C62406">
        <w:t>)</w:t>
      </w:r>
      <w:r w:rsidR="00DE500B">
        <w:t xml:space="preserve">. Por ejemplo, compiten a nivel local </w:t>
      </w:r>
      <w:r w:rsidR="0072317B">
        <w:t>líderes que buscan ser candidatos a intendente</w:t>
      </w:r>
      <w:r w:rsidR="00DE500B">
        <w:t>,</w:t>
      </w:r>
      <w:r w:rsidR="0072317B">
        <w:t xml:space="preserve"> </w:t>
      </w:r>
      <w:r w:rsidR="00DE500B">
        <w:t>a diputados, o personas que buscan</w:t>
      </w:r>
      <w:r w:rsidR="0072317B">
        <w:t xml:space="preserve"> obtener un lugar en las convenciones departamentales y nacionales</w:t>
      </w:r>
      <w:r w:rsidR="00DE500B">
        <w:t>.</w:t>
      </w:r>
      <w:r w:rsidR="005E74B7">
        <w:t xml:space="preserve"> </w:t>
      </w:r>
      <w:r w:rsidR="00E56D00" w:rsidRPr="0080590C">
        <w:t>La campaña en esta etapa es directa, personalizada y a menor escala que en las elecciones nacionales</w:t>
      </w:r>
      <w:r w:rsidR="005E74B7">
        <w:t>.</w:t>
      </w:r>
      <w:r w:rsidR="009215D4" w:rsidRPr="009215D4">
        <w:t xml:space="preserve"> </w:t>
      </w:r>
      <w:r w:rsidR="009215D4">
        <w:t xml:space="preserve">En </w:t>
      </w:r>
      <w:r w:rsidR="009215D4" w:rsidRPr="002A2D28">
        <w:t>las internas, con voto voluntario, predomina la movilización y el trabajo de proximidad</w:t>
      </w:r>
      <w:r w:rsidR="009215D4">
        <w:t xml:space="preserve"> </w:t>
      </w:r>
      <w:r w:rsidR="009215D4" w:rsidRPr="008C67CB">
        <w:t>(Queirolo et al. 2015; Buquet y Piñeiro 2011).</w:t>
      </w:r>
      <w:r w:rsidR="009215D4">
        <w:t xml:space="preserve"> </w:t>
      </w:r>
      <w:r w:rsidR="005E74B7">
        <w:t xml:space="preserve"> </w:t>
      </w:r>
      <w:r w:rsidR="00E56D00" w:rsidRPr="0080590C">
        <w:t xml:space="preserve">Esta etapa concluye con la realización de las elecciones internas el último domingo de junio, definiendo las candidaturas </w:t>
      </w:r>
      <w:r w:rsidR="005E74B7">
        <w:t xml:space="preserve">únicas por partido </w:t>
      </w:r>
      <w:r w:rsidR="00E56D00" w:rsidRPr="0080590C">
        <w:t xml:space="preserve">y dando comienzo a las elecciones nacionales. </w:t>
      </w:r>
      <w:r w:rsidR="009215D4">
        <w:t>E</w:t>
      </w:r>
      <w:r w:rsidR="009215D4" w:rsidRPr="009215D4">
        <w:t xml:space="preserve">n las internas, </w:t>
      </w:r>
      <w:r w:rsidR="003323BA">
        <w:t xml:space="preserve">se espera que </w:t>
      </w:r>
      <w:r w:rsidR="009215D4" w:rsidRPr="009215D4">
        <w:t xml:space="preserve">aumenten los </w:t>
      </w:r>
      <w:r w:rsidR="003323BA">
        <w:t xml:space="preserve">anuncios </w:t>
      </w:r>
      <w:r w:rsidR="009215D4" w:rsidRPr="009215D4">
        <w:t>llama</w:t>
      </w:r>
      <w:r w:rsidR="003323BA">
        <w:t xml:space="preserve">ndo </w:t>
      </w:r>
      <w:r w:rsidR="009215D4" w:rsidRPr="009215D4">
        <w:t>a la acción</w:t>
      </w:r>
      <w:r w:rsidR="00091551">
        <w:t>,</w:t>
      </w:r>
      <w:r w:rsidR="003323BA">
        <w:t xml:space="preserve"> a movilizar electores en un contexto de</w:t>
      </w:r>
      <w:r w:rsidR="009215D4" w:rsidRPr="009215D4">
        <w:t xml:space="preserve"> voto voluntario</w:t>
      </w:r>
      <w:r w:rsidR="003323BA">
        <w:t>.</w:t>
      </w:r>
    </w:p>
    <w:p w14:paraId="611C53E1" w14:textId="21035575" w:rsidR="00182602" w:rsidRPr="0080590C" w:rsidRDefault="009215D4" w:rsidP="00067E0C">
      <w:pPr>
        <w:spacing w:after="0" w:line="480" w:lineRule="auto"/>
        <w:ind w:firstLine="708"/>
      </w:pPr>
      <w:r w:rsidRPr="009215D4">
        <w:t>La campaña para las elecciones nacionales se orienta a persuadir al votante mediano en función de contenidos programáticos</w:t>
      </w:r>
      <w:r w:rsidR="003323BA">
        <w:t xml:space="preserve"> dado el contexto de voto obligatorio que exime a los partidos de la necesidad de movilizar votantes</w:t>
      </w:r>
      <w:r w:rsidRPr="009215D4">
        <w:t xml:space="preserve">. En la segunda vuelta, se intensifica una competencia binaria entre las dos fórmulas presidenciales. </w:t>
      </w:r>
      <w:r w:rsidR="003323BA">
        <w:t>E</w:t>
      </w:r>
      <w:r w:rsidRPr="009215D4">
        <w:t xml:space="preserve">n las nacionales, </w:t>
      </w:r>
      <w:r w:rsidR="003323BA">
        <w:t xml:space="preserve">es de esperar que </w:t>
      </w:r>
      <w:r w:rsidRPr="009215D4">
        <w:t>prevalezcan mensajes temáticos</w:t>
      </w:r>
      <w:r w:rsidR="003323BA">
        <w:t xml:space="preserve"> o </w:t>
      </w:r>
      <w:r w:rsidRPr="009215D4">
        <w:t xml:space="preserve">programáticos y en la segunda vuelta, </w:t>
      </w:r>
      <w:r w:rsidR="003323BA">
        <w:t xml:space="preserve">que </w:t>
      </w:r>
      <w:r w:rsidRPr="009215D4">
        <w:t>se intensifique</w:t>
      </w:r>
      <w:r w:rsidR="003323BA">
        <w:t>n los</w:t>
      </w:r>
      <w:r w:rsidRPr="009215D4">
        <w:t xml:space="preserve"> ataque</w:t>
      </w:r>
      <w:r w:rsidR="003323BA">
        <w:t>s</w:t>
      </w:r>
      <w:r w:rsidRPr="009215D4">
        <w:t xml:space="preserve"> al contrincante directo.</w:t>
      </w:r>
    </w:p>
    <w:p w14:paraId="7AB81F60" w14:textId="77777777" w:rsidR="00C62406" w:rsidRDefault="00C62406" w:rsidP="00067E0C">
      <w:pPr>
        <w:spacing w:after="0" w:line="480" w:lineRule="auto"/>
        <w:ind w:firstLine="708"/>
      </w:pPr>
    </w:p>
    <w:p w14:paraId="7C13DAD3" w14:textId="75BE8CC9" w:rsidR="005E74B7" w:rsidRDefault="005E74B7" w:rsidP="00067E0C">
      <w:pPr>
        <w:pStyle w:val="Ttulo2"/>
        <w:spacing w:before="0" w:after="0" w:line="480" w:lineRule="auto"/>
      </w:pPr>
      <w:r>
        <w:t xml:space="preserve">Contexto de la campaña </w:t>
      </w:r>
      <w:r w:rsidR="002830A7">
        <w:t xml:space="preserve">digital </w:t>
      </w:r>
      <w:r>
        <w:t>2024</w:t>
      </w:r>
    </w:p>
    <w:p w14:paraId="21297190" w14:textId="77777777" w:rsidR="002830A7" w:rsidRPr="002830A7" w:rsidRDefault="002830A7" w:rsidP="00067E0C">
      <w:pPr>
        <w:spacing w:after="0" w:line="480" w:lineRule="auto"/>
      </w:pPr>
    </w:p>
    <w:p w14:paraId="39A21C1F" w14:textId="3C7790E3" w:rsidR="00BB044A" w:rsidRDefault="002C78E2" w:rsidP="00067E0C">
      <w:pPr>
        <w:spacing w:after="0" w:line="480" w:lineRule="auto"/>
        <w:ind w:firstLine="708"/>
      </w:pPr>
      <w:r>
        <w:t xml:space="preserve">El alcance digital en </w:t>
      </w:r>
      <w:r w:rsidR="00BB044A">
        <w:t xml:space="preserve">Uruguay </w:t>
      </w:r>
      <w:r>
        <w:t xml:space="preserve">está altamente desarrollado, lo que </w:t>
      </w:r>
      <w:r w:rsidR="00BB044A">
        <w:t xml:space="preserve">condiciona la forma en que circula la publicidad política. Según la </w:t>
      </w:r>
      <w:r w:rsidR="00BB044A" w:rsidRPr="00BB044A">
        <w:t>Encuesta de Usos de Tecnologías de la Información y la Comunicación</w:t>
      </w:r>
      <w:r w:rsidR="00BB044A">
        <w:t xml:space="preserve"> (EUTIC) de 2022 el 91% de los hogares cuenta con conexión a internet y el 83% de las personas utiliza internet diariamente. La presencia en redes sociales es</w:t>
      </w:r>
      <w:r>
        <w:t xml:space="preserve"> muy alta</w:t>
      </w:r>
      <w:r w:rsidR="0062486C">
        <w:t>,</w:t>
      </w:r>
      <w:r>
        <w:t xml:space="preserve"> después de Whatsapp (92% de uso diario),</w:t>
      </w:r>
      <w:r w:rsidRPr="002C78E2">
        <w:t xml:space="preserve"> </w:t>
      </w:r>
      <w:r>
        <w:lastRenderedPageBreak/>
        <w:t>Instagram (42%) y</w:t>
      </w:r>
      <w:r w:rsidR="00BB044A">
        <w:t xml:space="preserve"> Facebook (41%) se ubican entre las plataformas más utilizadas</w:t>
      </w:r>
      <w:r w:rsidR="0062486C">
        <w:t>.</w:t>
      </w:r>
      <w:r w:rsidR="0062486C" w:rsidRPr="0062486C">
        <w:t xml:space="preserve"> Est</w:t>
      </w:r>
      <w:r w:rsidR="0062486C">
        <w:t>a</w:t>
      </w:r>
      <w:r w:rsidR="0062486C" w:rsidRPr="0062486C">
        <w:t xml:space="preserve"> prese</w:t>
      </w:r>
      <w:r w:rsidR="0062486C">
        <w:t xml:space="preserve">ncia hace que los </w:t>
      </w:r>
      <w:r w:rsidR="0062486C" w:rsidRPr="0062486C">
        <w:t xml:space="preserve">destinatarios potenciales de la publicidad política digital </w:t>
      </w:r>
      <w:r w:rsidR="0062486C">
        <w:t>sean</w:t>
      </w:r>
      <w:r w:rsidR="0062486C" w:rsidRPr="0062486C">
        <w:t xml:space="preserve"> ampli</w:t>
      </w:r>
      <w:r w:rsidR="0062486C">
        <w:t xml:space="preserve">os </w:t>
      </w:r>
      <w:r w:rsidR="0062486C" w:rsidRPr="0062486C">
        <w:t>y diversificad</w:t>
      </w:r>
      <w:r>
        <w:t>os</w:t>
      </w:r>
      <w:r w:rsidR="0062486C" w:rsidRPr="0062486C">
        <w:t>.</w:t>
      </w:r>
    </w:p>
    <w:p w14:paraId="7FB9C6D4" w14:textId="2EDD7FD8" w:rsidR="005E74B7" w:rsidRDefault="00BB044A" w:rsidP="00067E0C">
      <w:pPr>
        <w:spacing w:after="0" w:line="480" w:lineRule="auto"/>
        <w:ind w:firstLine="708"/>
      </w:pPr>
      <w:r>
        <w:t xml:space="preserve">Aunque persisten diferencias etarias y educativas, las brechas digitales se han reducido en la última década, ampliando el universo de usuarios expuestos a campañas segmentadas. El predominio del celular como dispositivo de conexión favorece formatos breves, audiovisuales y de circulación rápida, </w:t>
      </w:r>
      <w:r w:rsidR="006F2218">
        <w:t>como</w:t>
      </w:r>
      <w:r>
        <w:t xml:space="preserve"> los anuncios difundidos en Meta.</w:t>
      </w:r>
    </w:p>
    <w:p w14:paraId="49D37EFD" w14:textId="0378FD89" w:rsidR="009B5B6D" w:rsidRDefault="00523ABD" w:rsidP="00067E0C">
      <w:pPr>
        <w:spacing w:after="0" w:line="480" w:lineRule="auto"/>
        <w:ind w:firstLine="708"/>
      </w:pPr>
      <w:r>
        <w:t>En este contexto es que las candidaturas de los partidos enfrent</w:t>
      </w:r>
      <w:r w:rsidR="009B118F">
        <w:t>aron</w:t>
      </w:r>
      <w:r>
        <w:t xml:space="preserve"> la campaña</w:t>
      </w:r>
      <w:r w:rsidR="009B118F">
        <w:t xml:space="preserve"> hacia las elecciones nacionales de 2024</w:t>
      </w:r>
      <w:r>
        <w:t>. En las elecciones internas los principales partidos</w:t>
      </w:r>
      <w:r w:rsidR="00773A7D" w:rsidRPr="00773A7D">
        <w:t xml:space="preserve"> </w:t>
      </w:r>
      <w:r w:rsidR="00773A7D">
        <w:t>contaron con múltiples precandidaturas.</w:t>
      </w:r>
      <w:r>
        <w:t xml:space="preserve"> </w:t>
      </w:r>
      <w:r w:rsidR="00773A7D">
        <w:t>E</w:t>
      </w:r>
      <w:r>
        <w:t>l Frente Amplio (FA)</w:t>
      </w:r>
      <w:r w:rsidR="009B118F">
        <w:t xml:space="preserve">, partido de </w:t>
      </w:r>
      <w:proofErr w:type="gramStart"/>
      <w:r w:rsidR="009B118F">
        <w:t>centro-izquierda</w:t>
      </w:r>
      <w:proofErr w:type="gramEnd"/>
      <w:r w:rsidR="009B118F">
        <w:t>,</w:t>
      </w:r>
      <w:r w:rsidR="00742CDD" w:rsidRPr="00742CDD">
        <w:t xml:space="preserve"> definió su fórmula entre Yamandú Orsi, Carolina Cosse y Andrés Lima</w:t>
      </w:r>
      <w:r w:rsidR="00742CDD">
        <w:t>.</w:t>
      </w:r>
      <w:r>
        <w:t xml:space="preserve"> </w:t>
      </w:r>
      <w:r w:rsidR="00742CDD">
        <w:t>E</w:t>
      </w:r>
      <w:r>
        <w:t>l Partido Nacional (PN)</w:t>
      </w:r>
      <w:r w:rsidR="009B5B6D">
        <w:t xml:space="preserve">, </w:t>
      </w:r>
      <w:r w:rsidR="009B118F">
        <w:t xml:space="preserve">de </w:t>
      </w:r>
      <w:proofErr w:type="gramStart"/>
      <w:r w:rsidR="009B118F">
        <w:t>centro-derecha</w:t>
      </w:r>
      <w:proofErr w:type="gramEnd"/>
      <w:r w:rsidR="009B5B6D">
        <w:t xml:space="preserve"> y con arraigo fuerte en el sector rural del interior del país, definió entre</w:t>
      </w:r>
      <w:r w:rsidR="009B5B6D" w:rsidRPr="009B5B6D">
        <w:t xml:space="preserve"> Álvaro Delgado, Laura Raffo, Jorge Gandini y otr</w:t>
      </w:r>
      <w:r w:rsidR="009B5B6D">
        <w:t>a</w:t>
      </w:r>
      <w:r w:rsidR="009B5B6D" w:rsidRPr="009B5B6D">
        <w:t>s</w:t>
      </w:r>
      <w:r w:rsidR="009B5B6D">
        <w:t xml:space="preserve"> candidaturas menores</w:t>
      </w:r>
      <w:r w:rsidR="009B5B6D" w:rsidRPr="009B5B6D">
        <w:t>.</w:t>
      </w:r>
      <w:r w:rsidR="009B5B6D">
        <w:t xml:space="preserve"> Finalmente, el</w:t>
      </w:r>
      <w:r>
        <w:t xml:space="preserve"> Partido Colorado (PC</w:t>
      </w:r>
      <w:r w:rsidR="00F45717">
        <w:t>)</w:t>
      </w:r>
      <w:r w:rsidR="009B5B6D">
        <w:t xml:space="preserve">, </w:t>
      </w:r>
      <w:r w:rsidR="009B118F">
        <w:t>también de</w:t>
      </w:r>
      <w:r w:rsidR="009B5B6D">
        <w:t xml:space="preserve"> </w:t>
      </w:r>
      <w:proofErr w:type="gramStart"/>
      <w:r w:rsidR="009B5B6D">
        <w:t>centro-derecha</w:t>
      </w:r>
      <w:proofErr w:type="gramEnd"/>
      <w:r w:rsidR="009B5B6D">
        <w:t xml:space="preserve">, </w:t>
      </w:r>
      <w:r w:rsidR="009B5B6D" w:rsidRPr="009B5B6D">
        <w:t>definió su precandidatura entre Andrés Ojeda, Robert Silva, Gabriel Gurméndez y otras pequeñas precandidaturas.</w:t>
      </w:r>
      <w:r w:rsidR="009B5B6D">
        <w:t xml:space="preserve"> </w:t>
      </w:r>
      <w:r w:rsidR="009B118F">
        <w:t>En los partidos menores</w:t>
      </w:r>
      <w:r w:rsidR="00F45717">
        <w:t>, como Cabildo Abierto</w:t>
      </w:r>
      <w:r w:rsidR="009B118F">
        <w:t xml:space="preserve"> (CA)</w:t>
      </w:r>
      <w:r w:rsidR="00F45717">
        <w:t xml:space="preserve"> </w:t>
      </w:r>
      <w:r w:rsidR="009B118F">
        <w:t>y</w:t>
      </w:r>
      <w:r w:rsidR="00F45717">
        <w:t xml:space="preserve"> el Partido Independiente, </w:t>
      </w:r>
      <w:r w:rsidR="00773A7D">
        <w:t xml:space="preserve">la campaña se estructuro en torno a </w:t>
      </w:r>
      <w:r w:rsidR="00F45717">
        <w:t xml:space="preserve">precandidaturas únicas. </w:t>
      </w:r>
    </w:p>
    <w:p w14:paraId="182F2CA9" w14:textId="141F4F87" w:rsidR="00F45717" w:rsidRDefault="009B118F" w:rsidP="00067E0C">
      <w:pPr>
        <w:spacing w:after="0" w:line="480" w:lineRule="auto"/>
        <w:ind w:firstLine="708"/>
      </w:pPr>
      <w:r>
        <w:t xml:space="preserve">La elección nacional fue concurrente con dos plebiscitos: uno sobre seguridad social y otro sobre permitir allanamientos nocturnos. El primero fue </w:t>
      </w:r>
      <w:r w:rsidR="00F45717" w:rsidRPr="00F45717">
        <w:t>impulsados</w:t>
      </w:r>
      <w:r w:rsidR="00F45717">
        <w:t xml:space="preserve"> por </w:t>
      </w:r>
      <w:r w:rsidR="00F45717" w:rsidRPr="00F45717">
        <w:t>diversos actores sociales</w:t>
      </w:r>
      <w:r>
        <w:t>, entre ellos el movimento sindical,</w:t>
      </w:r>
      <w:r w:rsidR="00F45717" w:rsidRPr="00F45717">
        <w:t xml:space="preserve"> </w:t>
      </w:r>
      <w:r w:rsidR="00F45717">
        <w:t xml:space="preserve">y </w:t>
      </w:r>
      <w:r>
        <w:t xml:space="preserve">por </w:t>
      </w:r>
      <w:r w:rsidR="00F45717">
        <w:t>agrupaciones políticas</w:t>
      </w:r>
      <w:r>
        <w:t xml:space="preserve"> de izquierda</w:t>
      </w:r>
      <w:r w:rsidR="00F45717">
        <w:t xml:space="preserve">. </w:t>
      </w:r>
      <w:r>
        <w:t xml:space="preserve">El segundo, sobre allanamientos nocturnos, fue promovido por sectores de los partidos tradicionales (PN y PC) y por CA. </w:t>
      </w:r>
    </w:p>
    <w:p w14:paraId="443CBA7A" w14:textId="06B56C5F" w:rsidR="006F2218" w:rsidRDefault="00067E0C" w:rsidP="00067E0C">
      <w:pPr>
        <w:spacing w:after="0" w:line="480" w:lineRule="auto"/>
        <w:ind w:firstLine="708"/>
      </w:pPr>
      <w:r>
        <w:lastRenderedPageBreak/>
        <w:t>En las elecciones internas se definieron las candidaturas presidenciales únicas por partido. En el PN la fórmula fue compuesta por</w:t>
      </w:r>
      <w:r w:rsidR="009B5B6D">
        <w:t xml:space="preserve"> </w:t>
      </w:r>
      <w:r w:rsidR="00F06352">
        <w:t>Álvaro</w:t>
      </w:r>
      <w:r w:rsidR="009B5B6D">
        <w:t xml:space="preserve"> Delgado y Valeria Ripoll, que representaban la continuidad de la gestión del presidente Luis Lacalle Pou. </w:t>
      </w:r>
      <w:r w:rsidR="00F06352">
        <w:t>E</w:t>
      </w:r>
      <w:r>
        <w:t>n e</w:t>
      </w:r>
      <w:r w:rsidR="00F06352">
        <w:t xml:space="preserve">l FA </w:t>
      </w:r>
      <w:r>
        <w:t>la fórmula fue integrada por</w:t>
      </w:r>
      <w:r w:rsidR="00625328">
        <w:t xml:space="preserve"> Yamandú Orsi a la presidencia y Carolina Cosse a la vicepresidencia</w:t>
      </w:r>
      <w:r w:rsidR="00F06352">
        <w:t>. En el PC la candidatura a la presidencia</w:t>
      </w:r>
      <w:r>
        <w:t xml:space="preserve"> le correspondió a</w:t>
      </w:r>
      <w:r w:rsidR="00F06352">
        <w:t xml:space="preserve"> Andrés Ojeda, un </w:t>
      </w:r>
      <w:proofErr w:type="gramStart"/>
      <w:r w:rsidR="00F06352" w:rsidRPr="003D43B5">
        <w:rPr>
          <w:i/>
          <w:iCs/>
        </w:rPr>
        <w:t>outsider</w:t>
      </w:r>
      <w:proofErr w:type="gramEnd"/>
      <w:r w:rsidR="00F06352">
        <w:t xml:space="preserve"> de la política, acompañado por Robert Silva como candidato a vicepresidente</w:t>
      </w:r>
      <w:r w:rsidR="00F06352" w:rsidRPr="00F06352">
        <w:t>.</w:t>
      </w:r>
      <w:r w:rsidR="003D43B5">
        <w:t xml:space="preserve"> </w:t>
      </w:r>
      <w:r>
        <w:t xml:space="preserve"> En la primera vuelta presidencial de octubre de 2024 n</w:t>
      </w:r>
      <w:r w:rsidR="003D43B5" w:rsidRPr="003D43B5">
        <w:t xml:space="preserve">inguna </w:t>
      </w:r>
      <w:r>
        <w:t xml:space="preserve">de las </w:t>
      </w:r>
      <w:r w:rsidR="003D43B5" w:rsidRPr="003D43B5">
        <w:t>fórmula</w:t>
      </w:r>
      <w:r>
        <w:t>s presidenciales alcanzó</w:t>
      </w:r>
      <w:r w:rsidR="003D43B5" w:rsidRPr="003D43B5">
        <w:t xml:space="preserve"> el umbral del 50 %</w:t>
      </w:r>
      <w:r>
        <w:t xml:space="preserve"> más úno</w:t>
      </w:r>
      <w:r w:rsidR="003D43B5" w:rsidRPr="003D43B5">
        <w:t xml:space="preserve"> de los vot</w:t>
      </w:r>
      <w:r>
        <w:t>antes.</w:t>
      </w:r>
      <w:r w:rsidR="003D43B5" w:rsidRPr="003D43B5">
        <w:t xml:space="preserve"> </w:t>
      </w:r>
      <w:r>
        <w:t>Por lo que en el último domingo de noviembre</w:t>
      </w:r>
      <w:r w:rsidR="003D43B5" w:rsidRPr="003D43B5">
        <w:t xml:space="preserve"> </w:t>
      </w:r>
      <w:r>
        <w:t>se realizó</w:t>
      </w:r>
      <w:r w:rsidR="003D43B5" w:rsidRPr="003D43B5">
        <w:t xml:space="preserve"> un</w:t>
      </w:r>
      <w:r w:rsidR="003D43B5">
        <w:t>a segunda vuelta entre las dos candidaturas más votadas</w:t>
      </w:r>
      <w:r>
        <w:t>: la de Yamandú Orsi y Carolina Cosse (XX%) y la de Álvaro Delgado y Valeria Ripoll (XX%)</w:t>
      </w:r>
      <w:r w:rsidR="003D43B5">
        <w:t>.</w:t>
      </w:r>
      <w:r>
        <w:t xml:space="preserve"> En la </w:t>
      </w:r>
      <w:proofErr w:type="gramStart"/>
      <w:r>
        <w:t>segundo vuelta</w:t>
      </w:r>
      <w:proofErr w:type="gramEnd"/>
      <w:r>
        <w:t xml:space="preserve"> fue electa la fórmula del FA con el XX%.</w:t>
      </w:r>
    </w:p>
    <w:p w14:paraId="790B2A30" w14:textId="77777777" w:rsidR="00067E0C" w:rsidRDefault="00067E0C" w:rsidP="00067E0C">
      <w:pPr>
        <w:spacing w:after="0" w:line="480" w:lineRule="auto"/>
        <w:ind w:firstLine="708"/>
      </w:pPr>
    </w:p>
    <w:p w14:paraId="5C44CC85" w14:textId="30458C5E" w:rsidR="00FC0C40" w:rsidRDefault="00FC0C40" w:rsidP="00067E0C">
      <w:pPr>
        <w:pStyle w:val="Ttulo2"/>
        <w:spacing w:before="0" w:after="0" w:line="480" w:lineRule="auto"/>
        <w:rPr>
          <w:rFonts w:cs="Times New Roman"/>
          <w:szCs w:val="24"/>
        </w:rPr>
      </w:pPr>
      <w:r w:rsidRPr="0080590C">
        <w:rPr>
          <w:rFonts w:cs="Times New Roman"/>
          <w:szCs w:val="24"/>
        </w:rPr>
        <w:t>Categorías de anuncios</w:t>
      </w:r>
    </w:p>
    <w:p w14:paraId="6696A33B" w14:textId="77777777" w:rsidR="002830A7" w:rsidRPr="002830A7" w:rsidRDefault="002830A7" w:rsidP="00067E0C">
      <w:pPr>
        <w:spacing w:after="0" w:line="480" w:lineRule="auto"/>
      </w:pPr>
    </w:p>
    <w:p w14:paraId="6E1298F8" w14:textId="101BA9BC" w:rsidR="00E56D00" w:rsidRPr="0080590C" w:rsidRDefault="00E56D00" w:rsidP="00067E0C">
      <w:pPr>
        <w:spacing w:after="0" w:line="480" w:lineRule="auto"/>
        <w:ind w:firstLine="708"/>
      </w:pPr>
      <w:r w:rsidRPr="0080590C">
        <w:t>El manual de clasificación</w:t>
      </w:r>
      <w:r w:rsidR="001B4E74">
        <w:t xml:space="preserve"> de anuncios que se utiliza en este trabajo</w:t>
      </w:r>
      <w:r w:rsidRPr="0080590C">
        <w:t xml:space="preserve"> se construye en función de la tipología propuesta por Stromer-Galley et al. (2021). En su</w:t>
      </w:r>
      <w:r w:rsidR="001B4E74">
        <w:t xml:space="preserve"> artículo</w:t>
      </w:r>
      <w:r w:rsidRPr="0080590C">
        <w:t xml:space="preserve"> las autoras exploran cómo los ciclos de las campañas electorales moldean la comunicación política en las elecciones de 2016 y 2020 en Estados Unidos. Se clasifican los tipos de mensajes en los anuncios en las siguientes categorías: </w:t>
      </w:r>
      <w:r w:rsidRPr="0080590C">
        <w:rPr>
          <w:i/>
          <w:iCs/>
        </w:rPr>
        <w:t xml:space="preserve">advocacy </w:t>
      </w:r>
      <w:r w:rsidRPr="0080590C">
        <w:t>(promoción)</w:t>
      </w:r>
      <w:r w:rsidRPr="0080590C">
        <w:rPr>
          <w:i/>
          <w:iCs/>
        </w:rPr>
        <w:t xml:space="preserve">, attack </w:t>
      </w:r>
      <w:r w:rsidRPr="0080590C">
        <w:t>(ataque)</w:t>
      </w:r>
      <w:r w:rsidRPr="0080590C">
        <w:rPr>
          <w:i/>
          <w:iCs/>
        </w:rPr>
        <w:t xml:space="preserve">, image </w:t>
      </w:r>
      <w:r w:rsidRPr="0080590C">
        <w:t>(imagen)</w:t>
      </w:r>
      <w:r w:rsidRPr="0080590C">
        <w:rPr>
          <w:i/>
          <w:iCs/>
        </w:rPr>
        <w:t xml:space="preserve">, issue </w:t>
      </w:r>
      <w:r w:rsidRPr="0080590C">
        <w:t>(temático)</w:t>
      </w:r>
      <w:r w:rsidRPr="0080590C">
        <w:rPr>
          <w:i/>
          <w:iCs/>
        </w:rPr>
        <w:t xml:space="preserve">, call to action </w:t>
      </w:r>
      <w:r w:rsidRPr="0080590C">
        <w:t>(llamado a la acción)</w:t>
      </w:r>
      <w:r w:rsidRPr="0080590C">
        <w:rPr>
          <w:i/>
          <w:iCs/>
        </w:rPr>
        <w:t xml:space="preserve"> y ceremonial </w:t>
      </w:r>
      <w:r w:rsidRPr="0080590C">
        <w:t xml:space="preserve">(Stromer-Galley et al. 2021) </w:t>
      </w:r>
    </w:p>
    <w:p w14:paraId="5A834F90" w14:textId="70FFEEEC" w:rsidR="00E56D00" w:rsidRPr="0080590C" w:rsidRDefault="00625328" w:rsidP="00067E0C">
      <w:pPr>
        <w:spacing w:after="0" w:line="480" w:lineRule="auto"/>
        <w:ind w:firstLine="708"/>
      </w:pPr>
      <w:r>
        <w:t xml:space="preserve">La tipología de anuncios orientados a la </w:t>
      </w:r>
      <w:r w:rsidR="00CC790C">
        <w:t>persuasión</w:t>
      </w:r>
      <w:r>
        <w:t xml:space="preserve"> tiene dos dimensiones.</w:t>
      </w:r>
      <w:r w:rsidR="00D5218E">
        <w:t xml:space="preserve"> La primera dimensión es el enfoque del anuncio, que puede ser de promoción de lo propio o de ataque a los contrincantes. </w:t>
      </w:r>
      <w:r w:rsidR="00E56D00" w:rsidRPr="0080590C">
        <w:t xml:space="preserve"> Los mensajes de promoción abogan a favor del </w:t>
      </w:r>
      <w:r w:rsidR="00E56D00" w:rsidRPr="0080590C">
        <w:lastRenderedPageBreak/>
        <w:t>candidato o su causa, resaltando sus atributos positivos, logros y propuestas de forma afirmativa. En contraposición, los mensajes de ataque son aquellos que critican o desacreditan explícitamente a un adversario con el propósito de generar dudas o rechazo hacia las personas o entidades atacadas, restándoles legitimidad o apoyo.</w:t>
      </w:r>
    </w:p>
    <w:p w14:paraId="08F9E41D" w14:textId="26E8F07D" w:rsidR="0002084B" w:rsidRDefault="00E56D00" w:rsidP="00067E0C">
      <w:pPr>
        <w:spacing w:after="0" w:line="480" w:lineRule="auto"/>
        <w:ind w:firstLine="708"/>
      </w:pPr>
      <w:r w:rsidRPr="0080590C">
        <w:t xml:space="preserve">Tanto los mensajes de promoción como los de ataque pueden </w:t>
      </w:r>
      <w:r w:rsidR="00D5218E">
        <w:t xml:space="preserve">referir a distintos objetos en </w:t>
      </w:r>
      <w:r w:rsidRPr="0080590C">
        <w:t>función del tipo de apelación utilizada</w:t>
      </w:r>
      <w:r w:rsidR="001A13F8">
        <w:t xml:space="preserve">, la </w:t>
      </w:r>
      <w:r w:rsidR="00D5218E">
        <w:t>Figura</w:t>
      </w:r>
      <w:r w:rsidR="001A13F8">
        <w:t xml:space="preserve"> 1 muestra </w:t>
      </w:r>
      <w:r w:rsidR="00547133">
        <w:t>la interacción entre las tipologías</w:t>
      </w:r>
      <w:r w:rsidRPr="0080590C">
        <w:t xml:space="preserve">. Uno de los </w:t>
      </w:r>
      <w:r w:rsidR="00D5218E">
        <w:t>objetos</w:t>
      </w:r>
      <w:r w:rsidRPr="0080590C">
        <w:t xml:space="preserve"> es </w:t>
      </w:r>
      <w:r w:rsidR="00D5218E">
        <w:t xml:space="preserve">la </w:t>
      </w:r>
      <w:r w:rsidRPr="0080590C">
        <w:t xml:space="preserve">imagen, que se encuentra </w:t>
      </w:r>
      <w:r w:rsidR="00D5218E">
        <w:t>en los</w:t>
      </w:r>
      <w:r w:rsidRPr="0080590C">
        <w:t xml:space="preserve"> anuncio</w:t>
      </w:r>
      <w:r w:rsidR="00D5218E">
        <w:t>s</w:t>
      </w:r>
      <w:r w:rsidRPr="0080590C">
        <w:t xml:space="preserve"> </w:t>
      </w:r>
      <w:r w:rsidR="00D5218E">
        <w:t xml:space="preserve">que </w:t>
      </w:r>
      <w:r w:rsidRPr="0080590C">
        <w:t>se centra</w:t>
      </w:r>
      <w:r w:rsidR="00D5218E">
        <w:t>n</w:t>
      </w:r>
      <w:r w:rsidRPr="0080590C">
        <w:t xml:space="preserve"> en una figura, ya sea el propio candidato, un integrante de su fuerza política o un opositor, con el objetivo de resaltar aspectos vinculados al carácter, la personalidad, el estilo o los valores de </w:t>
      </w:r>
      <w:r w:rsidR="00345AF7">
        <w:t>esa</w:t>
      </w:r>
      <w:r w:rsidRPr="0080590C">
        <w:t xml:space="preserve"> figura. El segundo </w:t>
      </w:r>
      <w:r w:rsidR="00D5218E">
        <w:t xml:space="preserve">objeto </w:t>
      </w:r>
      <w:r w:rsidRPr="0080590C">
        <w:t>es el temático, en el que la persuasión se articula en torno a la postura asumida respecto de políticas específicas o asuntos concretos de la agenda pública. Esta distinción permite diferenciar entre estrategias centradas en atributos personales y aquellas que apelan a contenidos programáticos o propuestas políticas.</w:t>
      </w:r>
      <w:r w:rsidR="00547133">
        <w:t xml:space="preserve"> En la Figura 2 se observan ejemplos de anuncios orientados a la persuasión.</w:t>
      </w:r>
    </w:p>
    <w:p w14:paraId="6EB45E0E" w14:textId="77777777" w:rsidR="00067E0C" w:rsidRDefault="00067E0C" w:rsidP="00067E0C">
      <w:pPr>
        <w:spacing w:after="0" w:line="480" w:lineRule="auto"/>
        <w:ind w:firstLine="708"/>
      </w:pPr>
      <w:r w:rsidRPr="0080590C">
        <w:t>La categoría de llamado a la acción aplica a mensajes que incluyen directivas explícitas dirigidas a la audiencia, tales como visualizar un contenido, compartirlo en redes sociales, participar en un evento o ir a votar</w:t>
      </w:r>
      <w:r>
        <w:t>, así como se ve en la Figura 3</w:t>
      </w:r>
      <w:r w:rsidRPr="0080590C">
        <w:t>. Su función principal es movilizar a los usuarios para que realicen acciones concretas que amplifiquen el alcance del mensaje o incrementen la participación política.</w:t>
      </w:r>
    </w:p>
    <w:p w14:paraId="29C2AA41" w14:textId="457B0148" w:rsidR="00067E0C" w:rsidRDefault="00067E0C" w:rsidP="00067E0C">
      <w:pPr>
        <w:spacing w:after="0" w:line="480" w:lineRule="auto"/>
        <w:ind w:firstLine="708"/>
      </w:pPr>
      <w:r w:rsidRPr="0080590C">
        <w:t xml:space="preserve">Por último, los anuncios ceremoniales cumplen una función social o comunitaria más que persuasiva. Incluye, por ejemplo, mensajes destinados a reconocer logros, expresar agradecimientos, rendir homenajes, felicitar, bromear o reforzar lazos simbólicos con determinados colectivos. Este tipo de comunicación, aunque menos directamente vinculada con el debate electoral, contribuye a fortalecer la identidad del </w:t>
      </w:r>
      <w:r w:rsidRPr="0080590C">
        <w:lastRenderedPageBreak/>
        <w:t>candidato y su conexión emocional con diferentes segmentos de la audiencia.</w:t>
      </w:r>
      <w:r>
        <w:t xml:space="preserve"> La Figura 4 contine un ejemplo de anuncio del tipo ceremonial.</w:t>
      </w:r>
    </w:p>
    <w:p w14:paraId="7EDABE63" w14:textId="77777777" w:rsidR="00067E0C" w:rsidRPr="0080590C" w:rsidRDefault="00067E0C" w:rsidP="00E26EC9">
      <w:pPr>
        <w:spacing w:after="0" w:line="480" w:lineRule="auto"/>
      </w:pPr>
    </w:p>
    <w:p w14:paraId="10DCA7F9" w14:textId="1224DC9C" w:rsidR="00345AF7" w:rsidRDefault="00D5218E" w:rsidP="00345AF7">
      <w:pPr>
        <w:spacing w:after="0" w:line="480" w:lineRule="auto"/>
      </w:pPr>
      <w:r>
        <w:t>Figura</w:t>
      </w:r>
      <w:r w:rsidR="001A13F8">
        <w:t xml:space="preserve"> 1. </w:t>
      </w:r>
      <w:r w:rsidR="00345AF7">
        <w:t xml:space="preserve"> Tipología de anuncios orientados a la persuasión</w:t>
      </w:r>
    </w:p>
    <w:p w14:paraId="3B9CC60F" w14:textId="7C24B599" w:rsidR="00345AF7" w:rsidRDefault="00345AF7" w:rsidP="00E26EC9">
      <w:pPr>
        <w:spacing w:after="0" w:line="480" w:lineRule="auto"/>
      </w:pPr>
    </w:p>
    <w:tbl>
      <w:tblPr>
        <w:tblStyle w:val="Tablaconcuadrculaclara"/>
        <w:tblW w:w="0" w:type="auto"/>
        <w:jc w:val="center"/>
        <w:tblLook w:val="04A0" w:firstRow="1" w:lastRow="0" w:firstColumn="1" w:lastColumn="0" w:noHBand="0" w:noVBand="1"/>
      </w:tblPr>
      <w:tblGrid>
        <w:gridCol w:w="1559"/>
        <w:gridCol w:w="1276"/>
        <w:gridCol w:w="2123"/>
        <w:gridCol w:w="2123"/>
      </w:tblGrid>
      <w:tr w:rsidR="00345AF7" w14:paraId="336877E8" w14:textId="77777777" w:rsidTr="003D43B5">
        <w:trPr>
          <w:trHeight w:val="858"/>
          <w:jc w:val="center"/>
        </w:trPr>
        <w:tc>
          <w:tcPr>
            <w:tcW w:w="1559" w:type="dxa"/>
            <w:tcBorders>
              <w:top w:val="nil"/>
              <w:left w:val="nil"/>
              <w:bottom w:val="nil"/>
              <w:right w:val="nil"/>
            </w:tcBorders>
            <w:vAlign w:val="center"/>
          </w:tcPr>
          <w:p w14:paraId="7F2307E4" w14:textId="77777777" w:rsidR="00345AF7" w:rsidRPr="003D47B9" w:rsidRDefault="00345AF7" w:rsidP="003D47B9">
            <w:pPr>
              <w:spacing w:line="240" w:lineRule="auto"/>
              <w:jc w:val="center"/>
            </w:pPr>
          </w:p>
        </w:tc>
        <w:tc>
          <w:tcPr>
            <w:tcW w:w="1276" w:type="dxa"/>
            <w:tcBorders>
              <w:top w:val="nil"/>
              <w:left w:val="nil"/>
              <w:bottom w:val="nil"/>
            </w:tcBorders>
            <w:vAlign w:val="center"/>
          </w:tcPr>
          <w:p w14:paraId="7DF2BC9F" w14:textId="77777777" w:rsidR="00345AF7" w:rsidRPr="003D47B9" w:rsidRDefault="00345AF7" w:rsidP="003D47B9">
            <w:pPr>
              <w:spacing w:line="240" w:lineRule="auto"/>
              <w:jc w:val="center"/>
            </w:pPr>
          </w:p>
        </w:tc>
        <w:tc>
          <w:tcPr>
            <w:tcW w:w="4246" w:type="dxa"/>
            <w:gridSpan w:val="2"/>
            <w:vAlign w:val="center"/>
          </w:tcPr>
          <w:p w14:paraId="4D683FE8" w14:textId="2D4296DD" w:rsidR="00345AF7" w:rsidRPr="003D47B9" w:rsidRDefault="00345AF7" w:rsidP="003D47B9">
            <w:pPr>
              <w:spacing w:line="240" w:lineRule="auto"/>
              <w:jc w:val="center"/>
            </w:pPr>
            <w:r w:rsidRPr="003D47B9">
              <w:t>Objeto</w:t>
            </w:r>
          </w:p>
        </w:tc>
      </w:tr>
      <w:tr w:rsidR="00345AF7" w14:paraId="0CDE1D37" w14:textId="77777777" w:rsidTr="003D43B5">
        <w:trPr>
          <w:trHeight w:val="720"/>
          <w:jc w:val="center"/>
        </w:trPr>
        <w:tc>
          <w:tcPr>
            <w:tcW w:w="1559" w:type="dxa"/>
            <w:tcBorders>
              <w:top w:val="nil"/>
              <w:left w:val="nil"/>
              <w:right w:val="nil"/>
            </w:tcBorders>
            <w:vAlign w:val="center"/>
          </w:tcPr>
          <w:p w14:paraId="49CCC3D7" w14:textId="77777777" w:rsidR="00345AF7" w:rsidRPr="003D47B9" w:rsidRDefault="00345AF7" w:rsidP="003D47B9">
            <w:pPr>
              <w:spacing w:line="240" w:lineRule="auto"/>
              <w:jc w:val="center"/>
            </w:pPr>
          </w:p>
        </w:tc>
        <w:tc>
          <w:tcPr>
            <w:tcW w:w="1276" w:type="dxa"/>
            <w:tcBorders>
              <w:top w:val="nil"/>
              <w:left w:val="nil"/>
            </w:tcBorders>
            <w:vAlign w:val="center"/>
          </w:tcPr>
          <w:p w14:paraId="4F81F0A9" w14:textId="77777777" w:rsidR="00345AF7" w:rsidRPr="003D47B9" w:rsidRDefault="00345AF7" w:rsidP="003D47B9">
            <w:pPr>
              <w:spacing w:line="240" w:lineRule="auto"/>
              <w:jc w:val="center"/>
            </w:pPr>
          </w:p>
        </w:tc>
        <w:tc>
          <w:tcPr>
            <w:tcW w:w="2123" w:type="dxa"/>
            <w:tcBorders>
              <w:bottom w:val="single" w:sz="4" w:space="0" w:color="auto"/>
            </w:tcBorders>
            <w:vAlign w:val="center"/>
          </w:tcPr>
          <w:p w14:paraId="46FA7044" w14:textId="44B9054C" w:rsidR="00345AF7" w:rsidRPr="003D47B9" w:rsidRDefault="00345AF7" w:rsidP="003D47B9">
            <w:pPr>
              <w:spacing w:line="240" w:lineRule="auto"/>
              <w:jc w:val="center"/>
            </w:pPr>
            <w:r w:rsidRPr="003D47B9">
              <w:t>Imagen</w:t>
            </w:r>
          </w:p>
        </w:tc>
        <w:tc>
          <w:tcPr>
            <w:tcW w:w="2123" w:type="dxa"/>
            <w:tcBorders>
              <w:bottom w:val="single" w:sz="4" w:space="0" w:color="auto"/>
            </w:tcBorders>
            <w:vAlign w:val="center"/>
          </w:tcPr>
          <w:p w14:paraId="10B1B7A0" w14:textId="52F7A82E" w:rsidR="00345AF7" w:rsidRPr="003D47B9" w:rsidRDefault="00345AF7" w:rsidP="003D47B9">
            <w:pPr>
              <w:spacing w:line="240" w:lineRule="auto"/>
              <w:jc w:val="center"/>
              <w:rPr>
                <w:i/>
                <w:iCs/>
              </w:rPr>
            </w:pPr>
            <w:r w:rsidRPr="003D47B9">
              <w:rPr>
                <w:i/>
                <w:iCs/>
              </w:rPr>
              <w:t>Issue</w:t>
            </w:r>
          </w:p>
        </w:tc>
      </w:tr>
      <w:tr w:rsidR="00345AF7" w14:paraId="22CCE9CC" w14:textId="77777777" w:rsidTr="003D47B9">
        <w:trPr>
          <w:trHeight w:val="1562"/>
          <w:jc w:val="center"/>
        </w:trPr>
        <w:tc>
          <w:tcPr>
            <w:tcW w:w="1559" w:type="dxa"/>
            <w:vMerge w:val="restart"/>
            <w:vAlign w:val="center"/>
          </w:tcPr>
          <w:p w14:paraId="40138146" w14:textId="293083A8" w:rsidR="00345AF7" w:rsidRPr="003D47B9" w:rsidRDefault="00345AF7" w:rsidP="003D47B9">
            <w:pPr>
              <w:spacing w:line="240" w:lineRule="auto"/>
              <w:jc w:val="center"/>
            </w:pPr>
            <w:r w:rsidRPr="003D47B9">
              <w:t>Enfoque</w:t>
            </w:r>
          </w:p>
        </w:tc>
        <w:tc>
          <w:tcPr>
            <w:tcW w:w="1276" w:type="dxa"/>
            <w:tcBorders>
              <w:right w:val="single" w:sz="4" w:space="0" w:color="auto"/>
            </w:tcBorders>
            <w:vAlign w:val="center"/>
          </w:tcPr>
          <w:p w14:paraId="47534068" w14:textId="75B1D347" w:rsidR="00345AF7" w:rsidRPr="003D47B9" w:rsidRDefault="003D47B9" w:rsidP="003D47B9">
            <w:pPr>
              <w:spacing w:line="240" w:lineRule="auto"/>
              <w:jc w:val="center"/>
            </w:pPr>
            <w:r w:rsidRPr="003D47B9">
              <w:t>Promoción</w:t>
            </w:r>
          </w:p>
        </w:tc>
        <w:tc>
          <w:tcPr>
            <w:tcW w:w="2123" w:type="dxa"/>
            <w:tcBorders>
              <w:top w:val="single" w:sz="4" w:space="0" w:color="auto"/>
              <w:left w:val="single" w:sz="4" w:space="0" w:color="auto"/>
              <w:bottom w:val="single" w:sz="4" w:space="0" w:color="auto"/>
              <w:right w:val="single" w:sz="4" w:space="0" w:color="auto"/>
            </w:tcBorders>
            <w:vAlign w:val="center"/>
          </w:tcPr>
          <w:p w14:paraId="5FDAB7C9" w14:textId="70BCD642" w:rsidR="00345AF7" w:rsidRPr="003D47B9" w:rsidRDefault="003D47B9" w:rsidP="003D47B9">
            <w:pPr>
              <w:spacing w:line="240" w:lineRule="auto"/>
              <w:jc w:val="center"/>
            </w:pPr>
            <w:r>
              <w:t>Promoción de imagen</w:t>
            </w:r>
          </w:p>
        </w:tc>
        <w:tc>
          <w:tcPr>
            <w:tcW w:w="2123" w:type="dxa"/>
            <w:tcBorders>
              <w:top w:val="single" w:sz="4" w:space="0" w:color="auto"/>
              <w:left w:val="single" w:sz="4" w:space="0" w:color="auto"/>
              <w:bottom w:val="single" w:sz="4" w:space="0" w:color="auto"/>
              <w:right w:val="single" w:sz="4" w:space="0" w:color="auto"/>
            </w:tcBorders>
            <w:vAlign w:val="center"/>
          </w:tcPr>
          <w:p w14:paraId="64C98A56" w14:textId="057BB1C3" w:rsidR="00345AF7" w:rsidRPr="003D47B9" w:rsidRDefault="003D47B9" w:rsidP="003D47B9">
            <w:pPr>
              <w:spacing w:line="240" w:lineRule="auto"/>
              <w:jc w:val="center"/>
            </w:pPr>
            <w:r>
              <w:t>Promoción programática</w:t>
            </w:r>
          </w:p>
        </w:tc>
      </w:tr>
      <w:tr w:rsidR="00345AF7" w14:paraId="6F3F4711" w14:textId="77777777" w:rsidTr="003D47B9">
        <w:trPr>
          <w:trHeight w:val="1562"/>
          <w:jc w:val="center"/>
        </w:trPr>
        <w:tc>
          <w:tcPr>
            <w:tcW w:w="1559" w:type="dxa"/>
            <w:vMerge/>
            <w:vAlign w:val="center"/>
          </w:tcPr>
          <w:p w14:paraId="2A3207CF" w14:textId="77777777" w:rsidR="00345AF7" w:rsidRPr="003D47B9" w:rsidRDefault="00345AF7" w:rsidP="003D47B9">
            <w:pPr>
              <w:spacing w:line="240" w:lineRule="auto"/>
              <w:jc w:val="center"/>
            </w:pPr>
          </w:p>
        </w:tc>
        <w:tc>
          <w:tcPr>
            <w:tcW w:w="1276" w:type="dxa"/>
            <w:tcBorders>
              <w:right w:val="single" w:sz="4" w:space="0" w:color="auto"/>
            </w:tcBorders>
            <w:vAlign w:val="center"/>
          </w:tcPr>
          <w:p w14:paraId="5C625BBA" w14:textId="59C73C22" w:rsidR="00345AF7" w:rsidRPr="003D47B9" w:rsidRDefault="003D47B9" w:rsidP="003D47B9">
            <w:pPr>
              <w:spacing w:line="240" w:lineRule="auto"/>
              <w:jc w:val="center"/>
            </w:pPr>
            <w:r w:rsidRPr="003D47B9">
              <w:t>Ataque</w:t>
            </w:r>
          </w:p>
        </w:tc>
        <w:tc>
          <w:tcPr>
            <w:tcW w:w="2123" w:type="dxa"/>
            <w:tcBorders>
              <w:top w:val="single" w:sz="4" w:space="0" w:color="auto"/>
              <w:left w:val="single" w:sz="4" w:space="0" w:color="auto"/>
              <w:bottom w:val="single" w:sz="4" w:space="0" w:color="auto"/>
              <w:right w:val="single" w:sz="4" w:space="0" w:color="auto"/>
            </w:tcBorders>
            <w:vAlign w:val="center"/>
          </w:tcPr>
          <w:p w14:paraId="4465CC02" w14:textId="295DA3E5" w:rsidR="00345AF7" w:rsidRPr="003D47B9" w:rsidRDefault="003D47B9" w:rsidP="003D47B9">
            <w:pPr>
              <w:spacing w:line="240" w:lineRule="auto"/>
              <w:jc w:val="center"/>
            </w:pPr>
            <w:r>
              <w:t>Ataque de imagen</w:t>
            </w:r>
          </w:p>
        </w:tc>
        <w:tc>
          <w:tcPr>
            <w:tcW w:w="2123" w:type="dxa"/>
            <w:tcBorders>
              <w:top w:val="single" w:sz="4" w:space="0" w:color="auto"/>
              <w:left w:val="single" w:sz="4" w:space="0" w:color="auto"/>
              <w:bottom w:val="single" w:sz="4" w:space="0" w:color="auto"/>
              <w:right w:val="single" w:sz="4" w:space="0" w:color="auto"/>
            </w:tcBorders>
            <w:vAlign w:val="center"/>
          </w:tcPr>
          <w:p w14:paraId="10502F9D" w14:textId="7E676674" w:rsidR="00345AF7" w:rsidRPr="003D47B9" w:rsidRDefault="003D47B9" w:rsidP="003D47B9">
            <w:pPr>
              <w:spacing w:line="240" w:lineRule="auto"/>
              <w:jc w:val="center"/>
            </w:pPr>
            <w:r>
              <w:t>Ataque programático</w:t>
            </w:r>
          </w:p>
        </w:tc>
      </w:tr>
    </w:tbl>
    <w:p w14:paraId="3BF2C70D" w14:textId="00FEFC1C" w:rsidR="00345AF7" w:rsidRDefault="003D47B9" w:rsidP="00547133">
      <w:pPr>
        <w:spacing w:after="0" w:line="480" w:lineRule="auto"/>
      </w:pPr>
      <w:r>
        <w:t>Fuente: Elaboración propia</w:t>
      </w:r>
    </w:p>
    <w:p w14:paraId="26080F3E" w14:textId="23B4CD36" w:rsidR="00345AF7" w:rsidRDefault="00345AF7" w:rsidP="00E26EC9">
      <w:pPr>
        <w:spacing w:after="0" w:line="480" w:lineRule="auto"/>
      </w:pPr>
    </w:p>
    <w:p w14:paraId="02BCF3FA" w14:textId="77777777" w:rsidR="00067E0C" w:rsidRDefault="00067E0C" w:rsidP="00067E0C">
      <w:pPr>
        <w:spacing w:line="480" w:lineRule="auto"/>
        <w:ind w:firstLine="708"/>
      </w:pPr>
      <w:r>
        <w:t>La escala y las características del sistema de partidos (nivel de nacionalización e institucionalización) y del sistema</w:t>
      </w:r>
      <w:r w:rsidRPr="0080590C">
        <w:t xml:space="preserve"> electoral</w:t>
      </w:r>
      <w:r>
        <w:t xml:space="preserve"> (simultaneidad en las elecciones primarias) de Uruguay ofrecen la posibilidad de analizar todos los anuncios electorales realizados en el ciclo por todos los agentes electorales. De esta manera, se puede estudiar cómo varían las estrategias y los mensajes según la fase del ciclo electoral, tipo de anunciantes y de circunscripciones.  Los estudios comparados suelen analizar una parte de la publicidad, en particular, la de las cuentas oficiales de partidos y candidatos o los anuncios más relevantes </w:t>
      </w:r>
      <w:hyperlink r:id="rId11">
        <w:r>
          <w:t>(</w:t>
        </w:r>
        <w:proofErr w:type="spellStart"/>
        <w:r w:rsidRPr="00CC362B">
          <w:t>Bossetta</w:t>
        </w:r>
        <w:proofErr w:type="spellEnd"/>
        <w:r w:rsidRPr="00CC362B">
          <w:t xml:space="preserve"> y </w:t>
        </w:r>
        <w:proofErr w:type="spellStart"/>
        <w:r w:rsidRPr="00CC362B">
          <w:t>Schmøkel</w:t>
        </w:r>
        <w:proofErr w:type="spellEnd"/>
        <w:r w:rsidRPr="00CC362B">
          <w:t xml:space="preserve"> 2023;</w:t>
        </w:r>
        <w:r>
          <w:t xml:space="preserve"> </w:t>
        </w:r>
        <w:proofErr w:type="spellStart"/>
        <w:r w:rsidRPr="00CC362B">
          <w:t>Negri</w:t>
        </w:r>
        <w:proofErr w:type="spellEnd"/>
        <w:r w:rsidRPr="00CC362B">
          <w:t xml:space="preserve"> et al. 2024;</w:t>
        </w:r>
        <w:r>
          <w:t xml:space="preserve"> </w:t>
        </w:r>
        <w:r w:rsidRPr="00CC362B">
          <w:t>Sarasqueta et al. 2025;</w:t>
        </w:r>
        <w:r>
          <w:t xml:space="preserve"> Thiele y </w:t>
        </w:r>
        <w:proofErr w:type="spellStart"/>
        <w:r>
          <w:t>Seliger</w:t>
        </w:r>
        <w:proofErr w:type="spellEnd"/>
        <w:r>
          <w:t xml:space="preserve"> 2025; entre otros)</w:t>
        </w:r>
      </w:hyperlink>
      <w:r>
        <w:t xml:space="preserve">. Las cuentas de nivel local, y en especial las de actores con menos recursos, son dejadas de lado por estos estudios. Sin embargo, este </w:t>
      </w:r>
      <w:r>
        <w:lastRenderedPageBreak/>
        <w:t xml:space="preserve">tipo de campañas representan una parte importante del volumen de publicidad total que se realiza en redes sociales. </w:t>
      </w:r>
      <w:r w:rsidRPr="00F816D9">
        <w:t>Por ejemplo, en el ciclo electoral 2024 de Uruguay, el 65% de los anuncios en Meta no son de</w:t>
      </w:r>
      <w:r>
        <w:t xml:space="preserve"> alcance nacional, lo que significa que el anunciante busca impactar en un territorio en particular. Analizar toda la publicidad electoral permite obtener un panorama más completo de las campañas en redes a las que está expuesto el electorado y a la vez apreciar diferencias entre niveles de competencia y etapas del ciclo. </w:t>
      </w:r>
    </w:p>
    <w:p w14:paraId="58C1CDEF" w14:textId="77777777" w:rsidR="00DE7016" w:rsidRDefault="00DE7016" w:rsidP="00E26EC9">
      <w:pPr>
        <w:spacing w:after="0" w:line="480" w:lineRule="auto"/>
      </w:pPr>
    </w:p>
    <w:p w14:paraId="7BDE20B2" w14:textId="66B479B7" w:rsidR="00E56D00" w:rsidRPr="0080590C" w:rsidRDefault="003D47B9" w:rsidP="00E26EC9">
      <w:pPr>
        <w:spacing w:after="0" w:line="480" w:lineRule="auto"/>
      </w:pPr>
      <w:r>
        <w:t xml:space="preserve">Figura 2. </w:t>
      </w:r>
      <w:r w:rsidR="001A13F8">
        <w:t>Ejemplos de</w:t>
      </w:r>
      <w:r>
        <w:t xml:space="preserve"> anuncios orientados a la persuasión</w:t>
      </w:r>
    </w:p>
    <w:tbl>
      <w:tblPr>
        <w:tblStyle w:val="Tablaconcuadrculaclara"/>
        <w:tblW w:w="10141" w:type="dxa"/>
        <w:jc w:val="center"/>
        <w:tblLayout w:type="fixed"/>
        <w:tblLook w:val="04A0" w:firstRow="1" w:lastRow="0" w:firstColumn="1" w:lastColumn="0" w:noHBand="0" w:noVBand="1"/>
      </w:tblPr>
      <w:tblGrid>
        <w:gridCol w:w="1568"/>
        <w:gridCol w:w="4510"/>
        <w:gridCol w:w="4063"/>
      </w:tblGrid>
      <w:tr w:rsidR="00E56D00" w:rsidRPr="0080590C" w14:paraId="04A56395" w14:textId="77777777" w:rsidTr="00547133">
        <w:trPr>
          <w:trHeight w:val="493"/>
          <w:jc w:val="center"/>
        </w:trPr>
        <w:tc>
          <w:tcPr>
            <w:tcW w:w="1568" w:type="dxa"/>
            <w:tcBorders>
              <w:top w:val="nil"/>
              <w:left w:val="nil"/>
            </w:tcBorders>
          </w:tcPr>
          <w:p w14:paraId="13994620" w14:textId="77777777" w:rsidR="00E56D00" w:rsidRPr="0080590C" w:rsidRDefault="00E56D00" w:rsidP="00E26EC9">
            <w:pPr>
              <w:spacing w:line="480" w:lineRule="auto"/>
            </w:pPr>
          </w:p>
        </w:tc>
        <w:tc>
          <w:tcPr>
            <w:tcW w:w="4510" w:type="dxa"/>
            <w:tcBorders>
              <w:top w:val="nil"/>
              <w:bottom w:val="single" w:sz="4" w:space="0" w:color="auto"/>
            </w:tcBorders>
            <w:vAlign w:val="center"/>
          </w:tcPr>
          <w:p w14:paraId="7A23FE08" w14:textId="09B3233B" w:rsidR="00E56D00" w:rsidRPr="0080590C" w:rsidRDefault="003D47B9" w:rsidP="003D47B9">
            <w:pPr>
              <w:spacing w:line="480" w:lineRule="auto"/>
              <w:jc w:val="center"/>
            </w:pPr>
            <w:r>
              <w:t>Imagen</w:t>
            </w:r>
          </w:p>
        </w:tc>
        <w:tc>
          <w:tcPr>
            <w:tcW w:w="4063" w:type="dxa"/>
            <w:tcBorders>
              <w:top w:val="nil"/>
              <w:bottom w:val="single" w:sz="4" w:space="0" w:color="auto"/>
              <w:right w:val="nil"/>
            </w:tcBorders>
            <w:vAlign w:val="center"/>
          </w:tcPr>
          <w:p w14:paraId="51D572E4" w14:textId="13BB0B74" w:rsidR="00E56D00" w:rsidRPr="0080590C" w:rsidRDefault="003D47B9" w:rsidP="003D47B9">
            <w:pPr>
              <w:spacing w:line="480" w:lineRule="auto"/>
              <w:jc w:val="center"/>
            </w:pPr>
            <w:r>
              <w:t>Issue</w:t>
            </w:r>
          </w:p>
        </w:tc>
      </w:tr>
      <w:tr w:rsidR="00E56D00" w:rsidRPr="0080590C" w14:paraId="58CDF2B1" w14:textId="77777777" w:rsidTr="00547133">
        <w:trPr>
          <w:trHeight w:val="1147"/>
          <w:jc w:val="center"/>
        </w:trPr>
        <w:tc>
          <w:tcPr>
            <w:tcW w:w="1568" w:type="dxa"/>
            <w:tcBorders>
              <w:left w:val="nil"/>
              <w:right w:val="single" w:sz="4" w:space="0" w:color="auto"/>
            </w:tcBorders>
            <w:vAlign w:val="center"/>
          </w:tcPr>
          <w:p w14:paraId="57E9FAEF" w14:textId="1A3BEF8A" w:rsidR="00E56D00" w:rsidRPr="0080590C" w:rsidRDefault="003D47B9" w:rsidP="003D47B9">
            <w:pPr>
              <w:spacing w:line="480" w:lineRule="auto"/>
              <w:jc w:val="center"/>
            </w:pPr>
            <w:r>
              <w:t>Promoción</w:t>
            </w:r>
          </w:p>
        </w:tc>
        <w:tc>
          <w:tcPr>
            <w:tcW w:w="4510" w:type="dxa"/>
            <w:tcBorders>
              <w:top w:val="single" w:sz="4" w:space="0" w:color="auto"/>
              <w:left w:val="single" w:sz="4" w:space="0" w:color="auto"/>
              <w:bottom w:val="single" w:sz="4" w:space="0" w:color="auto"/>
              <w:right w:val="single" w:sz="4" w:space="0" w:color="auto"/>
            </w:tcBorders>
          </w:tcPr>
          <w:p w14:paraId="464C7851" w14:textId="77777777" w:rsidR="00E56D00" w:rsidRPr="0080590C" w:rsidRDefault="00E56D00" w:rsidP="00E26EC9">
            <w:pPr>
              <w:spacing w:line="480" w:lineRule="auto"/>
              <w:rPr>
                <w:lang w:val="en-GB"/>
              </w:rPr>
            </w:pPr>
            <w:r w:rsidRPr="0080590C">
              <w:rPr>
                <w:noProof/>
                <w:lang w:val="en-GB"/>
              </w:rPr>
              <w:drawing>
                <wp:inline distT="0" distB="0" distL="0" distR="0" wp14:anchorId="47A9926E" wp14:editId="1126C558">
                  <wp:extent cx="2760562" cy="1590309"/>
                  <wp:effectExtent l="0" t="0" r="1905" b="0"/>
                  <wp:docPr id="3436505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50591" name="Imagen 1" descr="Interfaz de usuario gráfica, Texto, Aplicación, Correo electrónico&#10;&#10;El contenido generado por IA puede ser incorrecto."/>
                          <pic:cNvPicPr/>
                        </pic:nvPicPr>
                        <pic:blipFill>
                          <a:blip r:embed="rId12"/>
                          <a:stretch>
                            <a:fillRect/>
                          </a:stretch>
                        </pic:blipFill>
                        <pic:spPr>
                          <a:xfrm>
                            <a:off x="0" y="0"/>
                            <a:ext cx="2822588" cy="1626041"/>
                          </a:xfrm>
                          <a:prstGeom prst="rect">
                            <a:avLst/>
                          </a:prstGeom>
                        </pic:spPr>
                      </pic:pic>
                    </a:graphicData>
                  </a:graphic>
                </wp:inline>
              </w:drawing>
            </w:r>
          </w:p>
        </w:tc>
        <w:tc>
          <w:tcPr>
            <w:tcW w:w="4063" w:type="dxa"/>
            <w:tcBorders>
              <w:top w:val="single" w:sz="4" w:space="0" w:color="auto"/>
              <w:left w:val="single" w:sz="4" w:space="0" w:color="auto"/>
              <w:bottom w:val="single" w:sz="4" w:space="0" w:color="auto"/>
              <w:right w:val="single" w:sz="4" w:space="0" w:color="auto"/>
            </w:tcBorders>
          </w:tcPr>
          <w:p w14:paraId="7EB09EED" w14:textId="537DE944" w:rsidR="00E56D00" w:rsidRPr="0080590C" w:rsidRDefault="003D47B9" w:rsidP="00E26EC9">
            <w:pPr>
              <w:spacing w:line="480" w:lineRule="auto"/>
            </w:pPr>
            <w:r w:rsidRPr="0080590C">
              <w:rPr>
                <w:noProof/>
              </w:rPr>
              <w:drawing>
                <wp:inline distT="0" distB="0" distL="0" distR="0" wp14:anchorId="20AFACC9" wp14:editId="224C4229">
                  <wp:extent cx="2709676" cy="1279003"/>
                  <wp:effectExtent l="0" t="0" r="0" b="0"/>
                  <wp:docPr id="153351550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15502" name="Imagen 1" descr="Interfaz de usuario gráfica, Texto, Aplicación, Chat o mensaje de texto&#10;&#10;El contenido generado por IA puede ser incorrecto."/>
                          <pic:cNvPicPr/>
                        </pic:nvPicPr>
                        <pic:blipFill>
                          <a:blip r:embed="rId13"/>
                          <a:stretch>
                            <a:fillRect/>
                          </a:stretch>
                        </pic:blipFill>
                        <pic:spPr>
                          <a:xfrm>
                            <a:off x="0" y="0"/>
                            <a:ext cx="2777337" cy="1310940"/>
                          </a:xfrm>
                          <a:prstGeom prst="rect">
                            <a:avLst/>
                          </a:prstGeom>
                        </pic:spPr>
                      </pic:pic>
                    </a:graphicData>
                  </a:graphic>
                </wp:inline>
              </w:drawing>
            </w:r>
          </w:p>
        </w:tc>
      </w:tr>
      <w:tr w:rsidR="00E56D00" w:rsidRPr="0080590C" w14:paraId="0B85DBD6" w14:textId="77777777" w:rsidTr="00547133">
        <w:trPr>
          <w:trHeight w:val="2728"/>
          <w:jc w:val="center"/>
        </w:trPr>
        <w:tc>
          <w:tcPr>
            <w:tcW w:w="1568" w:type="dxa"/>
            <w:tcBorders>
              <w:left w:val="nil"/>
              <w:bottom w:val="nil"/>
              <w:right w:val="single" w:sz="4" w:space="0" w:color="auto"/>
            </w:tcBorders>
            <w:vAlign w:val="center"/>
          </w:tcPr>
          <w:p w14:paraId="6FE44F3B" w14:textId="375A0F43" w:rsidR="00E56D00" w:rsidRPr="0080590C" w:rsidRDefault="003D47B9" w:rsidP="003D47B9">
            <w:pPr>
              <w:spacing w:line="480" w:lineRule="auto"/>
              <w:jc w:val="center"/>
            </w:pPr>
            <w:r>
              <w:t>Ataque</w:t>
            </w:r>
          </w:p>
        </w:tc>
        <w:tc>
          <w:tcPr>
            <w:tcW w:w="4510" w:type="dxa"/>
            <w:tcBorders>
              <w:top w:val="single" w:sz="4" w:space="0" w:color="auto"/>
              <w:left w:val="single" w:sz="4" w:space="0" w:color="auto"/>
              <w:bottom w:val="single" w:sz="4" w:space="0" w:color="auto"/>
              <w:right w:val="single" w:sz="4" w:space="0" w:color="auto"/>
            </w:tcBorders>
          </w:tcPr>
          <w:p w14:paraId="24C08FF5" w14:textId="4C63CFEA" w:rsidR="00E56D00" w:rsidRPr="0080590C" w:rsidRDefault="003D47B9" w:rsidP="00E26EC9">
            <w:pPr>
              <w:spacing w:line="480" w:lineRule="auto"/>
            </w:pPr>
            <w:r w:rsidRPr="0080590C">
              <w:rPr>
                <w:noProof/>
              </w:rPr>
              <w:drawing>
                <wp:inline distT="0" distB="0" distL="0" distR="0" wp14:anchorId="2C2C2CE9" wp14:editId="6A59189C">
                  <wp:extent cx="2785570" cy="1394749"/>
                  <wp:effectExtent l="0" t="0" r="0" b="0"/>
                  <wp:docPr id="94194871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48710" name="Imagen 1" descr="Interfaz de usuario gráfica, Texto, Aplicación, Correo electrónico&#10;&#10;El contenido generado por IA puede ser incorrecto."/>
                          <pic:cNvPicPr/>
                        </pic:nvPicPr>
                        <pic:blipFill>
                          <a:blip r:embed="rId14"/>
                          <a:stretch>
                            <a:fillRect/>
                          </a:stretch>
                        </pic:blipFill>
                        <pic:spPr>
                          <a:xfrm>
                            <a:off x="0" y="0"/>
                            <a:ext cx="2844032" cy="1424021"/>
                          </a:xfrm>
                          <a:prstGeom prst="rect">
                            <a:avLst/>
                          </a:prstGeom>
                        </pic:spPr>
                      </pic:pic>
                    </a:graphicData>
                  </a:graphic>
                </wp:inline>
              </w:drawing>
            </w:r>
          </w:p>
        </w:tc>
        <w:tc>
          <w:tcPr>
            <w:tcW w:w="4063" w:type="dxa"/>
            <w:tcBorders>
              <w:top w:val="single" w:sz="4" w:space="0" w:color="auto"/>
              <w:left w:val="single" w:sz="4" w:space="0" w:color="auto"/>
              <w:bottom w:val="single" w:sz="4" w:space="0" w:color="auto"/>
              <w:right w:val="single" w:sz="4" w:space="0" w:color="auto"/>
            </w:tcBorders>
          </w:tcPr>
          <w:p w14:paraId="0A5F77DC" w14:textId="77777777" w:rsidR="00E56D00" w:rsidRPr="0080590C" w:rsidRDefault="00E56D00" w:rsidP="00E26EC9">
            <w:pPr>
              <w:spacing w:line="480" w:lineRule="auto"/>
            </w:pPr>
            <w:r w:rsidRPr="0080590C">
              <w:rPr>
                <w:noProof/>
              </w:rPr>
              <w:drawing>
                <wp:inline distT="0" distB="0" distL="0" distR="0" wp14:anchorId="6AC3BDFF" wp14:editId="6BF1789D">
                  <wp:extent cx="2488557" cy="1546861"/>
                  <wp:effectExtent l="0" t="0" r="7620" b="0"/>
                  <wp:docPr id="4211843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84391" name="Imagen 1" descr="Interfaz de usuario gráfica, Texto, Aplicación, Correo electrónico&#10;&#10;El contenido generado por IA puede ser incorrecto."/>
                          <pic:cNvPicPr/>
                        </pic:nvPicPr>
                        <pic:blipFill>
                          <a:blip r:embed="rId15"/>
                          <a:stretch>
                            <a:fillRect/>
                          </a:stretch>
                        </pic:blipFill>
                        <pic:spPr>
                          <a:xfrm>
                            <a:off x="0" y="0"/>
                            <a:ext cx="2527253" cy="1570914"/>
                          </a:xfrm>
                          <a:prstGeom prst="rect">
                            <a:avLst/>
                          </a:prstGeom>
                        </pic:spPr>
                      </pic:pic>
                    </a:graphicData>
                  </a:graphic>
                </wp:inline>
              </w:drawing>
            </w:r>
          </w:p>
        </w:tc>
      </w:tr>
    </w:tbl>
    <w:p w14:paraId="294F5AF7" w14:textId="752E8B33" w:rsidR="00E56D00" w:rsidRDefault="001A13F8" w:rsidP="00547133">
      <w:pPr>
        <w:spacing w:after="0" w:line="480" w:lineRule="auto"/>
      </w:pPr>
      <w:r>
        <w:t>Fuente: Elaboración propia</w:t>
      </w:r>
      <w:r w:rsidR="003D47B9">
        <w:t xml:space="preserve"> en base a datos de Meta</w:t>
      </w:r>
    </w:p>
    <w:p w14:paraId="43C568A5" w14:textId="25E867DB" w:rsidR="001A13F8" w:rsidRDefault="001A13F8" w:rsidP="00E26EC9">
      <w:pPr>
        <w:spacing w:after="0" w:line="480" w:lineRule="auto"/>
        <w:jc w:val="right"/>
      </w:pPr>
    </w:p>
    <w:p w14:paraId="5FE51294" w14:textId="72069653" w:rsidR="00067E0C" w:rsidRDefault="00067E0C" w:rsidP="00E26EC9">
      <w:pPr>
        <w:spacing w:after="0" w:line="480" w:lineRule="auto"/>
        <w:jc w:val="right"/>
      </w:pPr>
    </w:p>
    <w:p w14:paraId="01C1D0D6" w14:textId="77777777" w:rsidR="00067E0C" w:rsidRPr="0080590C" w:rsidRDefault="00067E0C" w:rsidP="00E26EC9">
      <w:pPr>
        <w:spacing w:after="0" w:line="480" w:lineRule="auto"/>
        <w:jc w:val="right"/>
      </w:pPr>
    </w:p>
    <w:p w14:paraId="1A267650" w14:textId="77777777" w:rsidR="00576F4C" w:rsidRDefault="00576F4C" w:rsidP="00C746DA">
      <w:pPr>
        <w:spacing w:after="0" w:line="480" w:lineRule="auto"/>
        <w:ind w:firstLine="708"/>
      </w:pPr>
    </w:p>
    <w:p w14:paraId="09519D95" w14:textId="3C28E8DF" w:rsidR="00547133" w:rsidRPr="0080590C" w:rsidRDefault="00547133" w:rsidP="00067E0C">
      <w:pPr>
        <w:spacing w:after="0" w:line="480" w:lineRule="auto"/>
      </w:pPr>
      <w:r>
        <w:lastRenderedPageBreak/>
        <w:t>Figura 3. Ejemplo de anuncio del tipo llamado a la acción</w:t>
      </w:r>
    </w:p>
    <w:p w14:paraId="08D43F02" w14:textId="77777777" w:rsidR="00E56D00" w:rsidRDefault="00E56D00" w:rsidP="00E26EC9">
      <w:pPr>
        <w:spacing w:after="0" w:line="480" w:lineRule="auto"/>
        <w:jc w:val="center"/>
      </w:pPr>
      <w:r w:rsidRPr="0080590C">
        <w:rPr>
          <w:noProof/>
        </w:rPr>
        <w:drawing>
          <wp:inline distT="0" distB="0" distL="0" distR="0" wp14:anchorId="6DF32492" wp14:editId="4ABA9CED">
            <wp:extent cx="4489463" cy="1123950"/>
            <wp:effectExtent l="19050" t="19050" r="25400" b="19050"/>
            <wp:docPr id="197727600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76009" name="Imagen 1" descr="Captura de pantalla de un celular&#10;&#10;El contenido generado por IA puede ser incorrecto."/>
                    <pic:cNvPicPr/>
                  </pic:nvPicPr>
                  <pic:blipFill>
                    <a:blip r:embed="rId16"/>
                    <a:stretch>
                      <a:fillRect/>
                    </a:stretch>
                  </pic:blipFill>
                  <pic:spPr>
                    <a:xfrm>
                      <a:off x="0" y="0"/>
                      <a:ext cx="4550394" cy="1139204"/>
                    </a:xfrm>
                    <a:prstGeom prst="rect">
                      <a:avLst/>
                    </a:prstGeom>
                    <a:ln w="3175">
                      <a:solidFill>
                        <a:schemeClr val="tx1"/>
                      </a:solidFill>
                    </a:ln>
                  </pic:spPr>
                </pic:pic>
              </a:graphicData>
            </a:graphic>
          </wp:inline>
        </w:drawing>
      </w:r>
    </w:p>
    <w:p w14:paraId="4FEB3045" w14:textId="18139C17" w:rsidR="00547133" w:rsidRDefault="00547133" w:rsidP="00547133">
      <w:pPr>
        <w:spacing w:after="0" w:line="480" w:lineRule="auto"/>
      </w:pPr>
      <w:r>
        <w:t>Fuente: Elaboración propia en base a datos de Meta</w:t>
      </w:r>
    </w:p>
    <w:p w14:paraId="7B7789DC" w14:textId="75020C5E" w:rsidR="00547133" w:rsidRDefault="00547133" w:rsidP="00067E0C">
      <w:pPr>
        <w:spacing w:after="0" w:line="480" w:lineRule="auto"/>
        <w:jc w:val="right"/>
      </w:pPr>
    </w:p>
    <w:p w14:paraId="5A63C247" w14:textId="253F998B" w:rsidR="00547133" w:rsidRPr="0080590C" w:rsidRDefault="00547133" w:rsidP="00067E0C">
      <w:pPr>
        <w:spacing w:after="0" w:line="480" w:lineRule="auto"/>
      </w:pPr>
      <w:r>
        <w:t>Figura 4. Ejemplo de anuncio del tipo ceremonial</w:t>
      </w:r>
    </w:p>
    <w:p w14:paraId="7C864F9F" w14:textId="77777777" w:rsidR="00E56D00" w:rsidRPr="0080590C" w:rsidRDefault="00E56D00" w:rsidP="00E26EC9">
      <w:pPr>
        <w:spacing w:after="0" w:line="480" w:lineRule="auto"/>
        <w:jc w:val="center"/>
      </w:pPr>
      <w:r w:rsidRPr="0080590C">
        <w:rPr>
          <w:noProof/>
        </w:rPr>
        <w:drawing>
          <wp:inline distT="0" distB="0" distL="0" distR="0" wp14:anchorId="543EAD4E" wp14:editId="3CB8780A">
            <wp:extent cx="4582262" cy="1123950"/>
            <wp:effectExtent l="19050" t="19050" r="27940" b="19050"/>
            <wp:docPr id="176974640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46402" name="Imagen 1" descr="Interfaz de usuario gráfica, Texto, Aplicación, Correo electrónico&#10;&#10;El contenido generado por IA puede ser incorrecto."/>
                    <pic:cNvPicPr/>
                  </pic:nvPicPr>
                  <pic:blipFill>
                    <a:blip r:embed="rId17"/>
                    <a:stretch>
                      <a:fillRect/>
                    </a:stretch>
                  </pic:blipFill>
                  <pic:spPr>
                    <a:xfrm>
                      <a:off x="0" y="0"/>
                      <a:ext cx="4634514" cy="1136767"/>
                    </a:xfrm>
                    <a:prstGeom prst="rect">
                      <a:avLst/>
                    </a:prstGeom>
                    <a:ln w="3175">
                      <a:solidFill>
                        <a:schemeClr val="tx1"/>
                      </a:solidFill>
                    </a:ln>
                  </pic:spPr>
                </pic:pic>
              </a:graphicData>
            </a:graphic>
          </wp:inline>
        </w:drawing>
      </w:r>
    </w:p>
    <w:p w14:paraId="13F240A4" w14:textId="77777777" w:rsidR="00547133" w:rsidRPr="0080590C" w:rsidRDefault="00547133" w:rsidP="00547133">
      <w:pPr>
        <w:spacing w:after="0" w:line="480" w:lineRule="auto"/>
      </w:pPr>
      <w:r>
        <w:t>Fuente: Elaboración propia en base a datos de Meta</w:t>
      </w:r>
    </w:p>
    <w:p w14:paraId="6C1EA0FA" w14:textId="77777777" w:rsidR="00E56D00" w:rsidRPr="00E56D00" w:rsidRDefault="00E56D00" w:rsidP="00067E0C">
      <w:pPr>
        <w:spacing w:after="0" w:line="480" w:lineRule="auto"/>
      </w:pPr>
    </w:p>
    <w:p w14:paraId="59FE8E16" w14:textId="3C5E5DB0" w:rsidR="00F5688B" w:rsidRDefault="00AC08C8" w:rsidP="00067E0C">
      <w:pPr>
        <w:pStyle w:val="Ttulo2"/>
        <w:spacing w:before="0" w:after="0" w:line="480" w:lineRule="auto"/>
        <w:rPr>
          <w:rFonts w:cs="Times New Roman"/>
          <w:szCs w:val="24"/>
        </w:rPr>
      </w:pPr>
      <w:r w:rsidRPr="0080590C">
        <w:rPr>
          <w:rFonts w:cs="Times New Roman"/>
          <w:szCs w:val="24"/>
        </w:rPr>
        <w:t>Métodos y datos</w:t>
      </w:r>
    </w:p>
    <w:p w14:paraId="0B3CF24C" w14:textId="77777777" w:rsidR="00067E0C" w:rsidRPr="00067E0C" w:rsidRDefault="00067E0C" w:rsidP="00067E0C">
      <w:pPr>
        <w:spacing w:after="0" w:line="480" w:lineRule="auto"/>
      </w:pPr>
    </w:p>
    <w:p w14:paraId="069C9744" w14:textId="484A1512" w:rsidR="008D3865" w:rsidRDefault="008D3865" w:rsidP="00067E0C">
      <w:pPr>
        <w:spacing w:after="0" w:line="480" w:lineRule="auto"/>
        <w:ind w:firstLine="708"/>
      </w:pPr>
      <w:r>
        <w:t>E</w:t>
      </w:r>
      <w:r w:rsidRPr="0080590C">
        <w:t xml:space="preserve">ste </w:t>
      </w:r>
      <w:r>
        <w:t xml:space="preserve">trabajo </w:t>
      </w:r>
      <w:r w:rsidRPr="0080590C">
        <w:t xml:space="preserve">abarca los diferentes niveles de competencia involucrados entre y dentro de los partidos (entre fracciones a nivel nacional y departamental) en las tres instancias del ciclo electoral (candidaturas presidenciales, listas al Senado, listas para la Cámara de Representantes, y listas </w:t>
      </w:r>
      <w:r w:rsidR="004B7C55">
        <w:t xml:space="preserve">a </w:t>
      </w:r>
      <w:r w:rsidRPr="0080590C">
        <w:t xml:space="preserve">los </w:t>
      </w:r>
      <w:r w:rsidR="004B7C55">
        <w:t>ó</w:t>
      </w:r>
      <w:r w:rsidRPr="0080590C">
        <w:t>rgano</w:t>
      </w:r>
      <w:r w:rsidR="004B7C55">
        <w:t>s</w:t>
      </w:r>
      <w:r w:rsidRPr="0080590C">
        <w:t xml:space="preserve"> </w:t>
      </w:r>
      <w:r w:rsidR="004B7C55">
        <w:t>d</w:t>
      </w:r>
      <w:r w:rsidRPr="0080590C">
        <w:t>eliberativo</w:t>
      </w:r>
      <w:r w:rsidR="004B7C55">
        <w:t>s</w:t>
      </w:r>
      <w:r w:rsidRPr="0080590C">
        <w:t xml:space="preserve"> </w:t>
      </w:r>
      <w:r w:rsidR="004B7C55">
        <w:t>n</w:t>
      </w:r>
      <w:r w:rsidRPr="0080590C">
        <w:t xml:space="preserve">acionales y </w:t>
      </w:r>
      <w:r w:rsidR="004B7C55">
        <w:t>d</w:t>
      </w:r>
      <w:r w:rsidRPr="0080590C">
        <w:t>epartamentales de cada partido). Este análisis permite no solo entender diferentes dinámicas de las campañas sino también su interacción entre diferentes actores políticos. De esta forma, es posible obtener un panorama más completo de la publicidad electoral a la que están sometidos los votantes en una elección (que por lo general involucra más de un nivel de competencia) y a la vez apreciar diferencias entre niveles de competencia.</w:t>
      </w:r>
    </w:p>
    <w:p w14:paraId="3AE7A875" w14:textId="62DDE3B8" w:rsidR="00422344" w:rsidRPr="0080590C" w:rsidRDefault="00C22E9A" w:rsidP="00067E0C">
      <w:pPr>
        <w:spacing w:after="0" w:line="480" w:lineRule="auto"/>
        <w:ind w:firstLine="708"/>
      </w:pPr>
      <w:r>
        <w:lastRenderedPageBreak/>
        <w:t xml:space="preserve">Para este análisis se </w:t>
      </w:r>
      <w:r w:rsidR="00247025">
        <w:t>utilizan</w:t>
      </w:r>
      <w:r w:rsidRPr="00C22E9A">
        <w:t xml:space="preserve"> </w:t>
      </w:r>
      <w:r w:rsidR="00686629" w:rsidRPr="00686629">
        <w:t>12.096 (6</w:t>
      </w:r>
      <w:r w:rsidR="004B7C55">
        <w:t>.</w:t>
      </w:r>
      <w:r w:rsidR="00686629" w:rsidRPr="00686629">
        <w:t>192 de las elecciones internas, 5</w:t>
      </w:r>
      <w:r w:rsidR="004B7C55">
        <w:t>.</w:t>
      </w:r>
      <w:r w:rsidR="00686629" w:rsidRPr="00686629">
        <w:t xml:space="preserve">547 de las elecciones nacionales y 357 de la segunda vuelta) </w:t>
      </w:r>
      <w:r w:rsidRPr="00C22E9A">
        <w:t>anuncios</w:t>
      </w:r>
      <w:r w:rsidR="00247025">
        <w:t xml:space="preserve"> publicados entre octubre de 2023 y noviembre de 2024 recuperados</w:t>
      </w:r>
      <w:r w:rsidRPr="00C22E9A">
        <w:t xml:space="preserve"> a través de la API de la biblioteca de anuncios de Meta</w:t>
      </w:r>
      <w:r w:rsidRPr="008F46EA">
        <w:rPr>
          <w:rStyle w:val="Refdenotaalpie"/>
        </w:rPr>
        <w:footnoteReference w:id="2"/>
      </w:r>
      <w:r w:rsidR="00247025">
        <w:t xml:space="preserve">. </w:t>
      </w:r>
      <w:r w:rsidR="00247025" w:rsidRPr="00247025">
        <w:t>La biblioteca de anuncios proporciona detalles específicos sobre anuncios que circularon en sus plataformas</w:t>
      </w:r>
      <w:r w:rsidR="00247025">
        <w:t xml:space="preserve">. Se extrajeron todos los anuncios </w:t>
      </w:r>
      <w:r w:rsidR="001612B0">
        <w:t xml:space="preserve">(18.833) </w:t>
      </w:r>
      <w:r w:rsidRPr="00C22E9A">
        <w:t xml:space="preserve">bajo las categorías “Temas sociales, elecciones o política” </w:t>
      </w:r>
      <w:r w:rsidR="00247025">
        <w:t xml:space="preserve">con la ubicación “Uruguay” realizados por cuentas </w:t>
      </w:r>
      <w:r w:rsidRPr="00C22E9A">
        <w:t>institucionales, partidarias y personales vinculadas a actores políticos.</w:t>
      </w:r>
      <w:r w:rsidR="00247025">
        <w:t xml:space="preserve"> </w:t>
      </w:r>
    </w:p>
    <w:p w14:paraId="4D473E79" w14:textId="797FB5F2" w:rsidR="00910ED3" w:rsidRPr="0080590C" w:rsidRDefault="00E34FBA" w:rsidP="00067E0C">
      <w:pPr>
        <w:spacing w:after="0" w:line="480" w:lineRule="auto"/>
        <w:ind w:firstLine="708"/>
      </w:pPr>
      <w:r w:rsidRPr="00547133">
        <w:t xml:space="preserve">Una vez consolidada la base, se efectuó una revisión manual de contenido para excluir </w:t>
      </w:r>
      <w:r w:rsidR="00A30D28" w:rsidRPr="00547133">
        <w:t xml:space="preserve">5.395 </w:t>
      </w:r>
      <w:r w:rsidRPr="00547133">
        <w:t xml:space="preserve">anuncios no electorales o de </w:t>
      </w:r>
      <w:r w:rsidR="004B7C55" w:rsidRPr="00547133">
        <w:t xml:space="preserve">temas </w:t>
      </w:r>
      <w:r w:rsidRPr="00547133">
        <w:t>social</w:t>
      </w:r>
      <w:r w:rsidR="004F4293" w:rsidRPr="00547133">
        <w:t>es</w:t>
      </w:r>
      <w:r w:rsidRPr="00547133">
        <w:t xml:space="preserve"> no vinculada a campañas. </w:t>
      </w:r>
      <w:r w:rsidR="001612B0" w:rsidRPr="00547133">
        <w:t xml:space="preserve"> Del total de anuncios filtrados (13.4</w:t>
      </w:r>
      <w:r w:rsidR="00F816D9">
        <w:t>38</w:t>
      </w:r>
      <w:r w:rsidR="001612B0" w:rsidRPr="00547133">
        <w:t>) 5</w:t>
      </w:r>
      <w:r w:rsidR="00A30D28" w:rsidRPr="00547133">
        <w:t>2</w:t>
      </w:r>
      <w:r w:rsidR="001612B0" w:rsidRPr="00547133">
        <w:t>% (6</w:t>
      </w:r>
      <w:r w:rsidR="00A30D28" w:rsidRPr="00547133">
        <w:t>.9</w:t>
      </w:r>
      <w:r w:rsidR="00F816D9">
        <w:t>55</w:t>
      </w:r>
      <w:r w:rsidR="001612B0" w:rsidRPr="00547133">
        <w:t>) pertenece a las elecciones internas, 45% (6.</w:t>
      </w:r>
      <w:r w:rsidR="00F816D9">
        <w:t>021</w:t>
      </w:r>
      <w:r w:rsidR="001612B0" w:rsidRPr="00547133">
        <w:t xml:space="preserve">) a las elecciones nacionales y </w:t>
      </w:r>
      <w:r w:rsidR="00A30D28" w:rsidRPr="00547133">
        <w:t>3</w:t>
      </w:r>
      <w:r w:rsidR="001612B0" w:rsidRPr="00547133">
        <w:t>% (</w:t>
      </w:r>
      <w:r w:rsidR="00A30D28" w:rsidRPr="00547133">
        <w:t>4</w:t>
      </w:r>
      <w:r w:rsidR="00F816D9">
        <w:t>15</w:t>
      </w:r>
      <w:r w:rsidR="001612B0" w:rsidRPr="00547133">
        <w:t>) a la segunda vuelta.</w:t>
      </w:r>
      <w:r w:rsidR="00A30D28" w:rsidRPr="00547133">
        <w:t xml:space="preserve"> </w:t>
      </w:r>
      <w:r w:rsidR="0085014A" w:rsidRPr="00547133">
        <w:t>Luego se procedió a enriquecer la base asociando a cada anuncio</w:t>
      </w:r>
      <w:r w:rsidR="004B7C55" w:rsidRPr="00547133">
        <w:t xml:space="preserve"> su</w:t>
      </w:r>
      <w:r w:rsidR="0085014A" w:rsidRPr="00547133">
        <w:t xml:space="preserve"> partido político</w:t>
      </w:r>
      <w:r w:rsidR="004B7C55" w:rsidRPr="00547133">
        <w:t>,</w:t>
      </w:r>
      <w:r w:rsidR="0085014A" w:rsidRPr="00547133">
        <w:t xml:space="preserve"> precandidato</w:t>
      </w:r>
      <w:r w:rsidR="0085014A">
        <w:t xml:space="preserve"> </w:t>
      </w:r>
      <w:r w:rsidR="004B7C55">
        <w:t>(</w:t>
      </w:r>
      <w:r w:rsidR="0085014A" w:rsidRPr="0080590C">
        <w:t>en el caso de las internas</w:t>
      </w:r>
      <w:r w:rsidR="004B7C55">
        <w:t>)</w:t>
      </w:r>
      <w:r w:rsidR="0085014A" w:rsidRPr="0080590C">
        <w:t xml:space="preserve"> y si el anuncio tenía un alcance nacional o departamenta</w:t>
      </w:r>
      <w:r w:rsidR="0085014A">
        <w:t xml:space="preserve">l. La asignación se </w:t>
      </w:r>
      <w:r w:rsidRPr="0080590C">
        <w:t xml:space="preserve">realizó con codificadores que observaron los anuncios siguiendo el siguiente criterio: en primer lugar, por el nombre de la página (page_name), luego, mediante búsqueda de palabras clave en el cuerpo del anuncio (ad_creative_bodies) y el contenido audiovisual del anuncio. </w:t>
      </w:r>
    </w:p>
    <w:p w14:paraId="32B2E96C" w14:textId="2E224628" w:rsidR="007D6045" w:rsidRDefault="00BF026B" w:rsidP="00067E0C">
      <w:pPr>
        <w:spacing w:after="0" w:line="480" w:lineRule="auto"/>
        <w:ind w:firstLine="708"/>
      </w:pPr>
      <w:r>
        <w:t>Para el análisis utilizamos las siguientes variables de la base</w:t>
      </w:r>
      <w:r w:rsidR="007D6045">
        <w:t xml:space="preserve"> extraída </w:t>
      </w:r>
      <w:r w:rsidR="00686629">
        <w:t>para cada anuncio</w:t>
      </w:r>
      <w:r>
        <w:t>:</w:t>
      </w:r>
      <w:r w:rsidR="00686629">
        <w:t xml:space="preserve"> identificador único</w:t>
      </w:r>
      <w:r>
        <w:t xml:space="preserve"> (id)</w:t>
      </w:r>
      <w:r w:rsidR="00686629">
        <w:t>, URL</w:t>
      </w:r>
      <w:r>
        <w:t xml:space="preserve"> que dirige a la página de transparencia del anuncio (ad_snapshot_url), umbrales de gasto e impresiones (impresión y gasto lower y </w:t>
      </w:r>
      <w:r>
        <w:lastRenderedPageBreak/>
        <w:t>upper) dado que Meta no reporta números exactos para estas variables se toma el promedio, distribución de las impresiones por departamento (delivery_by_region) y el texto del cuerpo del anuncio (ad_creative_bodies)</w:t>
      </w:r>
      <w:r w:rsidR="007D6045">
        <w:t>. En el caso de los anuncios que fueron removidos por no cumplir las políticas de publicidad de Meta, la API no provee el texto del cuerpo de los anuncios. Para recuperar est</w:t>
      </w:r>
      <w:r w:rsidR="00C1060D">
        <w:t xml:space="preserve">a información </w:t>
      </w:r>
      <w:r w:rsidR="007D6045">
        <w:t>se automatiz</w:t>
      </w:r>
      <w:r w:rsidR="00C1060D">
        <w:t>ó</w:t>
      </w:r>
      <w:r w:rsidR="007D6045">
        <w:t xml:space="preserve"> </w:t>
      </w:r>
      <w:r w:rsidR="00C1060D">
        <w:t xml:space="preserve">la descarga de los textos desde </w:t>
      </w:r>
      <w:r>
        <w:t>el</w:t>
      </w:r>
      <w:r w:rsidR="00C1060D">
        <w:t xml:space="preserve"> ad_snapshot_url proporcionado por la API. Este proceso se realizó para </w:t>
      </w:r>
      <w:r w:rsidR="00C1060D" w:rsidRPr="00C1060D">
        <w:t xml:space="preserve">462 </w:t>
      </w:r>
      <w:r w:rsidR="00C1060D">
        <w:t xml:space="preserve">anuncios </w:t>
      </w:r>
      <w:r w:rsidR="00C1060D" w:rsidRPr="00C1060D">
        <w:t xml:space="preserve">removidos por no utilizar </w:t>
      </w:r>
      <w:r w:rsidR="00C1060D" w:rsidRPr="0073508F">
        <w:rPr>
          <w:i/>
          <w:iCs/>
        </w:rPr>
        <w:t>disclaimer</w:t>
      </w:r>
      <w:r w:rsidR="00C1060D" w:rsidRPr="00C1060D">
        <w:t xml:space="preserve"> y 55 anuncios removidos por no seguir las políticas de publicidad de Meta</w:t>
      </w:r>
      <w:r w:rsidR="00C1060D">
        <w:t>.</w:t>
      </w:r>
    </w:p>
    <w:p w14:paraId="3FEEC849" w14:textId="749BD3EC" w:rsidR="009748B3" w:rsidRPr="0080590C" w:rsidRDefault="00C1060D" w:rsidP="00067E0C">
      <w:pPr>
        <w:spacing w:after="0" w:line="480" w:lineRule="auto"/>
        <w:ind w:firstLine="708"/>
      </w:pPr>
      <w:r>
        <w:t xml:space="preserve">Para acceder </w:t>
      </w:r>
      <w:r w:rsidR="00E34FBA" w:rsidRPr="0080590C">
        <w:t xml:space="preserve">a las imágenes </w:t>
      </w:r>
      <w:r>
        <w:t xml:space="preserve">y </w:t>
      </w:r>
      <w:r w:rsidR="00E34FBA" w:rsidRPr="0080590C">
        <w:t>videos de los anuncios</w:t>
      </w:r>
      <w:r w:rsidR="00C84F5E" w:rsidRPr="0080590C">
        <w:t xml:space="preserve"> se </w:t>
      </w:r>
      <w:r w:rsidR="004F4293" w:rsidRPr="0080590C">
        <w:t>adaptó</w:t>
      </w:r>
      <w:r w:rsidR="00C84F5E" w:rsidRPr="0080590C">
        <w:t xml:space="preserve"> </w:t>
      </w:r>
      <w:r w:rsidR="004F4293" w:rsidRPr="0080590C">
        <w:t xml:space="preserve">la herramienta de recopilación de datos desarrollada por </w:t>
      </w:r>
      <w:r w:rsidR="004F4293" w:rsidRPr="0080590C">
        <w:fldChar w:fldCharType="begin"/>
      </w:r>
      <w:r w:rsidR="00E92EEB" w:rsidRPr="0080590C">
        <w:instrText xml:space="preserve"> ADDIN ZOTERO_ITEM CSL_CITATION {"citationID":"CQUuBetq","properties":{"formattedCitation":"(Schm\\uc0\\u248{}kel y Bossetta 2022)","plainCitation":"(Schmøkel y Bossetta 2022)","dontUpdate":true,"noteIndex":0},"citationItems":[{"id":538,"uris":["http://zotero.org/users/9929100/items/G63E2D6D"],"itemData":{"id":538,"type":"article-journal","abstract":"We present a methodological workflow using two open science tools that we developed. The first, FBAdLibrian, collects images from the Facebook Ad Library. The second, Pykognition, simplifies facial and emotion detection in images using computer vision. We provide a methodological workflow for using these tools and apply them to a case study of the 2020 US primary elections. We find that unique images of campaigning candidates are only a fraction (&lt;.1%) of overall ads. Furthermore, we find that candidates most often display happiness and calm in their facial expressions, and they rarely attack opponents in image-based ads from their official Facebook pages. When candidates do attack, opponents are portrayed with emotions such as anger, sadness, and fear.","container-title":"Journal of Information Technology &amp; Politics","DOI":"10.1080/19331681.2021.1928579","ISSN":"1933-1681","issue":"1","note":"publisher: Routledge\n_eprint: https://doi.org/10.1080/19331681.2021.1928579","page":"118-128","source":"Taylor and Francis+NEJM","title":"FBAdLibrarian and Pykognition: open science tools for the collection and emotion detection of images in Facebook political ads with computer vision","title-short":"FBAdLibrarian and Pykognition","volume":"19","author":[{"family":"Schmøkel","given":"Rasmus"},{"family":"Bossetta","given":"Michael"}],"issued":{"date-parts":[["2022",1,2]]}}}],"schema":"https://github.com/citation-style-language/schema/raw/master/csl-citation.json"} </w:instrText>
      </w:r>
      <w:r w:rsidR="004F4293" w:rsidRPr="0080590C">
        <w:fldChar w:fldCharType="separate"/>
      </w:r>
      <w:r w:rsidR="004F4293" w:rsidRPr="0080590C">
        <w:rPr>
          <w:kern w:val="0"/>
        </w:rPr>
        <w:t>Schmøkel y Bossetta (2022)</w:t>
      </w:r>
      <w:r w:rsidR="004F4293" w:rsidRPr="0080590C">
        <w:fldChar w:fldCharType="end"/>
      </w:r>
      <w:r w:rsidR="004F4293" w:rsidRPr="0080590C">
        <w:t xml:space="preserve"> </w:t>
      </w:r>
      <w:r w:rsidR="004F4293" w:rsidRPr="0080590C">
        <w:rPr>
          <w:i/>
          <w:iCs/>
        </w:rPr>
        <w:t>FBAdLibrarian</w:t>
      </w:r>
      <w:r w:rsidR="004A6D88" w:rsidRPr="008F46EA">
        <w:rPr>
          <w:rStyle w:val="Refdenotaalpie"/>
        </w:rPr>
        <w:footnoteReference w:id="3"/>
      </w:r>
      <w:r w:rsidR="004F4293" w:rsidRPr="0080590C">
        <w:t xml:space="preserve">. </w:t>
      </w:r>
      <w:r w:rsidR="00FC5E27" w:rsidRPr="0080590C">
        <w:t>El procedimiento automatizó el ingreso a las páginas de transparencia</w:t>
      </w:r>
      <w:r>
        <w:t xml:space="preserve"> (ad_snapshot_url)</w:t>
      </w:r>
      <w:r w:rsidR="00FC5E27" w:rsidRPr="0080590C">
        <w:t xml:space="preserve"> de cada anuncio, expandió el contenido y descargó los elementos multimedia principales. Los archivos se diferenciaron por tipo (</w:t>
      </w:r>
      <w:r w:rsidR="0073508F" w:rsidRPr="0080590C">
        <w:t>imagen</w:t>
      </w:r>
      <w:r w:rsidR="00FC5E27" w:rsidRPr="0080590C">
        <w:t xml:space="preserve"> o video), vinculados siempre por el</w:t>
      </w:r>
      <w:r w:rsidR="00A712FB" w:rsidRPr="0080590C">
        <w:t xml:space="preserve"> identificador</w:t>
      </w:r>
      <w:r>
        <w:t xml:space="preserve"> de anuncio</w:t>
      </w:r>
      <w:r w:rsidR="00FC5E27" w:rsidRPr="0080590C">
        <w:t>.</w:t>
      </w:r>
    </w:p>
    <w:p w14:paraId="2D66BE62" w14:textId="2CAD15AB" w:rsidR="00E23A8A" w:rsidRPr="0080590C" w:rsidRDefault="00F85C8B" w:rsidP="00067E0C">
      <w:pPr>
        <w:spacing w:after="0" w:line="480" w:lineRule="auto"/>
        <w:ind w:firstLine="708"/>
      </w:pPr>
      <w:r w:rsidRPr="0080590C">
        <w:t xml:space="preserve">Para </w:t>
      </w:r>
      <w:r w:rsidR="00C1060D">
        <w:t xml:space="preserve">pasar a texto los contenidos de </w:t>
      </w:r>
      <w:r w:rsidRPr="0080590C">
        <w:t xml:space="preserve">los anuncios con componentes audiovisuales, </w:t>
      </w:r>
      <w:r w:rsidR="004F3CEF" w:rsidRPr="0080590C">
        <w:t xml:space="preserve">se </w:t>
      </w:r>
      <w:r w:rsidRPr="0080590C">
        <w:t xml:space="preserve">recopilaron las pistas de audio de los videos a través de </w:t>
      </w:r>
      <w:r w:rsidRPr="0080590C">
        <w:rPr>
          <w:i/>
          <w:iCs/>
        </w:rPr>
        <w:t>ffmpeg</w:t>
      </w:r>
      <w:r w:rsidR="004F3CEF" w:rsidRPr="008F46EA">
        <w:rPr>
          <w:rStyle w:val="Refdenotaalpie"/>
        </w:rPr>
        <w:footnoteReference w:id="4"/>
      </w:r>
      <w:r w:rsidRPr="0080590C">
        <w:t>, que permitió estandarizar los archivos para</w:t>
      </w:r>
      <w:r w:rsidR="004F3CEF" w:rsidRPr="0080590C">
        <w:t xml:space="preserve"> el proceso de</w:t>
      </w:r>
      <w:r w:rsidRPr="0080590C">
        <w:t xml:space="preserve"> transcripción automática.</w:t>
      </w:r>
      <w:r w:rsidR="00BA1ED3" w:rsidRPr="0080590C">
        <w:t xml:space="preserve"> Se utilizo el modelo de</w:t>
      </w:r>
      <w:r w:rsidR="00E23A8A" w:rsidRPr="0080590C">
        <w:t xml:space="preserve"> transcripción </w:t>
      </w:r>
      <w:r w:rsidR="00D164DE" w:rsidRPr="0080590C">
        <w:t xml:space="preserve">automática </w:t>
      </w:r>
      <w:r w:rsidR="007A3CC8" w:rsidRPr="0080590C">
        <w:rPr>
          <w:i/>
          <w:iCs/>
        </w:rPr>
        <w:t>Whisper</w:t>
      </w:r>
      <w:r w:rsidR="007A3CC8" w:rsidRPr="008F46EA">
        <w:rPr>
          <w:rStyle w:val="Refdenotaalpie"/>
        </w:rPr>
        <w:footnoteReference w:id="5"/>
      </w:r>
      <w:r w:rsidR="007A3CC8" w:rsidRPr="0080590C">
        <w:t xml:space="preserve"> </w:t>
      </w:r>
      <w:r w:rsidR="00D164DE" w:rsidRPr="0080590C">
        <w:t xml:space="preserve">desarrollado por Open AI. </w:t>
      </w:r>
      <w:r w:rsidR="00D164DE" w:rsidRPr="0080590C">
        <w:fldChar w:fldCharType="begin"/>
      </w:r>
      <w:r w:rsidR="00E92EEB" w:rsidRPr="0080590C">
        <w:instrText xml:space="preserve"> ADDIN ZOTERO_ITEM CSL_CITATION {"citationID":"Js18ps5E","properties":{"formattedCitation":"(Radford et\\uc0\\u160{}al. 2022)","plainCitation":"(Radford et al. 2022)","dontUpdate":true,"noteIndex":0},"citationItems":[{"id":2067,"uris":["http://zotero.org/users/9929100/items/4SLZJM6J"],"itemData":{"id":2067,"type":"article","abstract":"We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processing.","DOI":"10.48550/arXiv.2212.04356","note":"arXiv:2212.04356 [eess]","number":"arXiv:2212.04356","publisher":"arXiv","source":"arXiv.org","title":"Robust Speech Recognition via Large-Scale Weak Supervision","URL":"http://arxiv.org/abs/2212.04356","author":[{"family":"Radford","given":"Alec"},{"family":"Kim","given":"Jong Wook"},{"family":"Xu","given":"Tao"},{"family":"Brockman","given":"Greg"},{"family":"McLeavey","given":"Christine"},{"family":"Sutskever","given":"Ilya"}],"accessed":{"date-parts":[["2025",10,30]]},"issued":{"date-parts":[["2022",12,6]]}}}],"schema":"https://github.com/citation-style-language/schema/raw/master/csl-citation.json"} </w:instrText>
      </w:r>
      <w:r w:rsidR="00D164DE" w:rsidRPr="0080590C">
        <w:fldChar w:fldCharType="separate"/>
      </w:r>
      <w:r w:rsidR="00D164DE" w:rsidRPr="0080590C">
        <w:rPr>
          <w:kern w:val="0"/>
        </w:rPr>
        <w:t>Radford et al. (2022)</w:t>
      </w:r>
      <w:r w:rsidR="00D164DE" w:rsidRPr="0080590C">
        <w:fldChar w:fldCharType="end"/>
      </w:r>
      <w:r w:rsidR="00BA1ED3" w:rsidRPr="0080590C">
        <w:t xml:space="preserve"> </w:t>
      </w:r>
      <w:r w:rsidR="00D164DE" w:rsidRPr="0080590C">
        <w:t>reportan</w:t>
      </w:r>
      <w:r w:rsidR="007A3CC8" w:rsidRPr="0080590C">
        <w:t>,</w:t>
      </w:r>
      <w:r w:rsidR="00D164DE" w:rsidRPr="0080590C">
        <w:t xml:space="preserve"> </w:t>
      </w:r>
      <w:r w:rsidR="00E56145" w:rsidRPr="0080590C">
        <w:t xml:space="preserve">para el modelo más potente </w:t>
      </w:r>
      <w:r w:rsidR="00065621" w:rsidRPr="0080590C">
        <w:t xml:space="preserve">de </w:t>
      </w:r>
      <w:r w:rsidR="00065621" w:rsidRPr="0080590C">
        <w:rPr>
          <w:i/>
          <w:iCs/>
        </w:rPr>
        <w:t>Whisper</w:t>
      </w:r>
      <w:r w:rsidR="007A3CC8" w:rsidRPr="0080590C">
        <w:t>,</w:t>
      </w:r>
      <w:r w:rsidR="00065621" w:rsidRPr="0080590C">
        <w:t xml:space="preserve"> </w:t>
      </w:r>
      <w:r w:rsidR="00D164DE" w:rsidRPr="0080590C">
        <w:t xml:space="preserve">un porcentaje de error de palabras </w:t>
      </w:r>
      <w:r w:rsidR="00673758" w:rsidRPr="0080590C">
        <w:t>de 4</w:t>
      </w:r>
      <w:r w:rsidR="00CF0DB6">
        <w:t>,</w:t>
      </w:r>
      <w:r w:rsidR="00673758" w:rsidRPr="0080590C">
        <w:t>7%</w:t>
      </w:r>
      <w:r w:rsidR="00065621" w:rsidRPr="0080590C">
        <w:t>.</w:t>
      </w:r>
      <w:r w:rsidR="00673758" w:rsidRPr="0080590C">
        <w:t xml:space="preserve"> </w:t>
      </w:r>
      <w:r w:rsidR="00065621" w:rsidRPr="0080590C">
        <w:t>S</w:t>
      </w:r>
      <w:r w:rsidR="00673758" w:rsidRPr="0080590C">
        <w:t>in embargo, al d</w:t>
      </w:r>
      <w:r w:rsidR="008129D8" w:rsidRPr="0080590C">
        <w:t xml:space="preserve">esagregarlo por </w:t>
      </w:r>
      <w:r w:rsidR="00065621" w:rsidRPr="0080590C">
        <w:t xml:space="preserve">acentos </w:t>
      </w:r>
      <w:r w:rsidR="008129D8" w:rsidRPr="0080590C">
        <w:t>y género</w:t>
      </w:r>
      <w:r w:rsidR="00065621" w:rsidRPr="0080590C">
        <w:t xml:space="preserve"> del hablante</w:t>
      </w:r>
      <w:r w:rsidR="00C1060D">
        <w:t>,</w:t>
      </w:r>
      <w:r w:rsidR="008129D8" w:rsidRPr="0080590C">
        <w:t xml:space="preserve"> </w:t>
      </w:r>
      <w:r w:rsidR="00673758" w:rsidRPr="0080590C">
        <w:fldChar w:fldCharType="begin"/>
      </w:r>
      <w:r w:rsidR="00E92EEB" w:rsidRPr="0080590C">
        <w:instrText xml:space="preserve"> ADDIN ZOTERO_ITEM CSL_CITATION {"citationID":"3YFsECY7","properties":{"formattedCitation":"(Nacimiento-Garc\\uc0\\u237{}a et\\uc0\\u160{}al. 2024)","plainCitation":"(Nacimiento-García et al. 2024)","dontUpdate":true,"noteIndex":0},"citationItems":[{"id":890,"uris":["http://zotero.org/users/9929100/items/REL6FSBB"],"itemData":{"id":890,"type":"article-journal","abstract":"Considering previous research indicating the presence of biases based on gender and accent in AI-based tools such as virtual assistants or automatic speech recognition (ASR) systems, this paper examines these potential biases in both Alexa and Whisper for the major Spanish accent groups. The Mozilla Common Voice dataset is employed for testing, and after evaluating tens of thousands of audio fragments, descriptive statistics are calculated. After analyzing the data disaggregated by gender and accent, it is observed that, for this dataset, in terms of means and medians, Alexa performs slightly better for female voices than for male voices, while the opposite is true for Whisper. However, these differences in both cases are not considered significant. In the case of accents, a higher Word Error Rate (WER) is observed among certain accents, suggesting bias based on the spoken Spanish accent.","container-title":"Applied Sciences","DOI":"10.3390/app14114734","ISSN":"2076-3417","issue":"11","language":"en","license":"http://creativecommons.org/licenses/by/3.0/","note":"number: 11\npublisher: Multidisciplinary Digital Publishing Institute","page":"4734","source":"www.mdpi.com","title":"Gender and Accent Biases in AI-Based Tools for Spanish: A Comparative Study between Alexa and Whisper","title-short":"Gender and Accent Biases in AI-Based Tools for Spanish","volume":"14","author":[{"family":"Nacimiento-García","given":"Eduardo"},{"family":"Díaz-Kaas-Nielsen","given":"Holi Sunya"},{"family":"González-González","given":"Carina S."}],"issued":{"date-parts":[["2024",1]]}}}],"schema":"https://github.com/citation-style-language/schema/raw/master/csl-citation.json"} </w:instrText>
      </w:r>
      <w:r w:rsidR="00673758" w:rsidRPr="0080590C">
        <w:fldChar w:fldCharType="separate"/>
      </w:r>
      <w:r w:rsidR="00673758" w:rsidRPr="0080590C">
        <w:rPr>
          <w:kern w:val="0"/>
        </w:rPr>
        <w:t xml:space="preserve">Nacimiento-García et al. </w:t>
      </w:r>
      <w:r w:rsidR="008129D8" w:rsidRPr="0080590C">
        <w:rPr>
          <w:kern w:val="0"/>
        </w:rPr>
        <w:t>(</w:t>
      </w:r>
      <w:r w:rsidR="00673758" w:rsidRPr="0080590C">
        <w:rPr>
          <w:kern w:val="0"/>
        </w:rPr>
        <w:t>2024)</w:t>
      </w:r>
      <w:r w:rsidR="00673758" w:rsidRPr="0080590C">
        <w:fldChar w:fldCharType="end"/>
      </w:r>
      <w:r w:rsidR="008129D8" w:rsidRPr="0080590C">
        <w:t xml:space="preserve"> muestran que, para el acento rioplatense, este porcentaje sube a</w:t>
      </w:r>
      <w:r w:rsidR="00065621" w:rsidRPr="0080590C">
        <w:t xml:space="preserve"> 8</w:t>
      </w:r>
      <w:r w:rsidR="00CF0DB6">
        <w:t>,</w:t>
      </w:r>
      <w:r w:rsidR="00065621" w:rsidRPr="0080590C">
        <w:t>37% para las mujeres y 6</w:t>
      </w:r>
      <w:r w:rsidR="00CF0DB6">
        <w:t>,</w:t>
      </w:r>
      <w:r w:rsidR="00065621" w:rsidRPr="0080590C">
        <w:t>45% para los hombres. Asimismo,</w:t>
      </w:r>
      <w:r w:rsidR="00936F41" w:rsidRPr="0080590C">
        <w:t xml:space="preserve"> </w:t>
      </w:r>
      <w:r w:rsidR="007A3CC8" w:rsidRPr="0080590C">
        <w:fldChar w:fldCharType="begin"/>
      </w:r>
      <w:r w:rsidR="00E92EEB" w:rsidRPr="0080590C">
        <w:instrText xml:space="preserve"> ADDIN ZOTERO_ITEM CSL_CITATION {"citationID":"tR95xbnC","properties":{"formattedCitation":"(Mena et\\uc0\\u160{}al. 2026)","plainCitation":"(Mena et al. 2026)","dontUpdate":true,"noteIndex":0},"citationItems":[{"id":2064,"uris":["http://zotero.org/users/9929100/items/LG3BP3Z4"],"itemData":{"id":2064,"type":"article-journal","abstract":"The performance of three representative automatic speech recognition (ASR) systems: NeMo, Wav2Vec, and Whisper, was evaluated for the Spanish language as spoken in the central region of Mexico, in the presence of speech babble noise as a function of signal to noise ratio (SNR) and also separately under different reverberant conditions. NeMo and Wav2Vec were pretrained, or specially fine-tuned for the recognition of Mexican Spanish, as required by the language architectures of these ASR systems, while Whisper was used without requiring such fine-tuning. Speech intelligibility tests with human participants were also carried out on the same speech material and under the same acoustic conditions: noise and reverberation. Character error rate and word error rate metrics were mapped into speech intelligibility scores, speech reception thresholds, and intelligibility slopes, the latter being performance metrics more commonly used in the evaluation of human speech intelligibility. ASR results show profiles of performance vs. SNR which are akin to those found for human listeners. Comparison with speech intelligibility results by human listeners, show speech reception thresholds (signal to noise dB levels corresponding to 50% intelligibility in the presence of acoustic noise) which are higher, showing lower performance relative to humans, by 1.8 dB for Whisper, 3.0 dB for Wav2Vec, 7.0 dB for NeMo. Intelligibility slopes (indicating rate of performance recovery with increasing SNR) were higher for Whisper (13.6%/dB) and Wav2Vec (12.0%/dB), lower for NeMo (5.0%/dB), relative to an intermediate value for humans (9.3%/dB). Performance with reverberated speech indicate reverberation time thresholds (for 50% intelligibility) of 3.1 s for Whisper, 2.6 s for humans, 1.4 s for Wav2Vec, and 1.0 s for NeMo. Whisper is seen to outperform Wav2Vec and NeMo in all aspects, while also outperforming humans in terms of speech intelligibility slope and reverberation threshold, except for speech reception threshold in noise. These results provide performance metrics for the ASR systems included in this study in the context of human speech intelligibility. Also, in view of their good performance, Whisper and Wav2Vec lend themselves to be used in predicting human speech intelligibility in different scenarios by conducting equivalent evaluations through automatic speech recognition.","container-title":"Computer Speech &amp; Language","DOI":"10.1016/j.csl.2025.101856","ISSN":"08852308","journalAbbreviation":"Computer Speech &amp; Language","language":"en","page":"101856","source":"DOI.org (Crossref)","title":"Automatic speech recognition in the presence of babble noise and reverberation compared to human speech intelligibility in Spanish","volume":"95","author":[{"family":"Mena","given":"Carlos"},{"family":"Padilla-Ortiz","given":"A.L."},{"family":"Orduña-Bustamante","given":"Felipe"}],"issued":{"date-parts":[["2026",1]]}}}],"schema":"https://github.com/citation-style-language/schema/raw/master/csl-citation.json"} </w:instrText>
      </w:r>
      <w:r w:rsidR="007A3CC8" w:rsidRPr="0080590C">
        <w:fldChar w:fldCharType="separate"/>
      </w:r>
      <w:r w:rsidR="00936F41" w:rsidRPr="0080590C">
        <w:rPr>
          <w:kern w:val="0"/>
        </w:rPr>
        <w:t xml:space="preserve">Mena </w:t>
      </w:r>
      <w:r w:rsidR="00936F41" w:rsidRPr="0080590C">
        <w:rPr>
          <w:kern w:val="0"/>
        </w:rPr>
        <w:lastRenderedPageBreak/>
        <w:t>et al. (2026)</w:t>
      </w:r>
      <w:r w:rsidR="007A3CC8" w:rsidRPr="0080590C">
        <w:fldChar w:fldCharType="end"/>
      </w:r>
      <w:r w:rsidR="00936F41" w:rsidRPr="0080590C">
        <w:t xml:space="preserve"> encuentran que el porcentaje de palabras erróneas al agregar ruido de balbuceo a los audios aumenta a 17</w:t>
      </w:r>
      <w:r w:rsidR="00CF0DB6">
        <w:t>,</w:t>
      </w:r>
      <w:r w:rsidR="00936F41" w:rsidRPr="0080590C">
        <w:t>1%, solamente 0</w:t>
      </w:r>
      <w:r w:rsidR="00CF0DB6">
        <w:t>,</w:t>
      </w:r>
      <w:r w:rsidR="00936F41" w:rsidRPr="0080590C">
        <w:t xml:space="preserve">5 puntos porcentuales más que los </w:t>
      </w:r>
      <w:r w:rsidR="00522FD3" w:rsidRPr="0080590C">
        <w:t>transcriptores humanos.</w:t>
      </w:r>
    </w:p>
    <w:p w14:paraId="3793B8F4" w14:textId="77777777" w:rsidR="00491ADB" w:rsidRDefault="00522FD3" w:rsidP="00067E0C">
      <w:pPr>
        <w:spacing w:after="0" w:line="480" w:lineRule="auto"/>
        <w:ind w:firstLine="708"/>
      </w:pPr>
      <w:r w:rsidRPr="0080590C">
        <w:t xml:space="preserve">Para </w:t>
      </w:r>
      <w:r w:rsidR="00CF0DB6">
        <w:t>incorporar a la base los textos embebidos en las imágenes que acompañan los anuncios</w:t>
      </w:r>
      <w:r w:rsidRPr="0080590C">
        <w:t xml:space="preserve"> se </w:t>
      </w:r>
      <w:r w:rsidR="00CF0DB6">
        <w:t>utilizó la</w:t>
      </w:r>
      <w:r w:rsidRPr="0080590C">
        <w:t xml:space="preserve"> </w:t>
      </w:r>
      <w:r w:rsidR="00CF0DB6">
        <w:t xml:space="preserve">herramienta </w:t>
      </w:r>
      <w:r w:rsidRPr="0080590C">
        <w:t>de reconocimiento óptico de caracteres (OCR)</w:t>
      </w:r>
      <w:r w:rsidR="00CF0DB6">
        <w:t xml:space="preserve"> </w:t>
      </w:r>
      <w:r w:rsidR="00CF0DB6" w:rsidRPr="0080590C">
        <w:rPr>
          <w:i/>
          <w:iCs/>
        </w:rPr>
        <w:t>Google Cloud Vision Api</w:t>
      </w:r>
      <w:r w:rsidR="00CF0DB6" w:rsidRPr="008F46EA">
        <w:rPr>
          <w:rStyle w:val="Refdenotaalpie"/>
        </w:rPr>
        <w:footnoteReference w:id="6"/>
      </w:r>
      <w:r w:rsidRPr="0080590C">
        <w:t>. El objetivo</w:t>
      </w:r>
      <w:r w:rsidR="00CF0DB6">
        <w:t xml:space="preserve"> fue</w:t>
      </w:r>
      <w:r w:rsidRPr="0080590C">
        <w:t xml:space="preserve"> extraer los textos embebidos en las publicaciones, por ejemplo, consignas, lemas partidarios, eslóganes que no se encuentra</w:t>
      </w:r>
      <w:r w:rsidR="00CF0DB6">
        <w:t>n</w:t>
      </w:r>
      <w:r w:rsidRPr="0080590C">
        <w:t xml:space="preserve"> en el cuerpo del anuncio. </w:t>
      </w:r>
      <w:r w:rsidR="00CF0DB6">
        <w:t>S</w:t>
      </w:r>
      <w:r w:rsidR="00CF0DB6" w:rsidRPr="0080590C">
        <w:t xml:space="preserve">e </w:t>
      </w:r>
      <w:r w:rsidR="00CF0DB6">
        <w:t>decidió utilizar</w:t>
      </w:r>
      <w:r w:rsidR="00CF0DB6" w:rsidRPr="0080590C">
        <w:t xml:space="preserve"> </w:t>
      </w:r>
      <w:r w:rsidR="00CF0DB6" w:rsidRPr="0080590C">
        <w:rPr>
          <w:i/>
          <w:iCs/>
        </w:rPr>
        <w:t>Google Cloud Vision Api</w:t>
      </w:r>
      <w:r w:rsidR="00CF0DB6" w:rsidRPr="0080590C">
        <w:t xml:space="preserve"> </w:t>
      </w:r>
      <w:r w:rsidR="00CF0DB6">
        <w:t>e</w:t>
      </w:r>
      <w:r w:rsidRPr="0080590C">
        <w:t xml:space="preserve">n base al trabajo de </w:t>
      </w:r>
      <w:r w:rsidRPr="0080590C">
        <w:fldChar w:fldCharType="begin"/>
      </w:r>
      <w:r w:rsidR="00E92EEB" w:rsidRPr="0080590C">
        <w:instrText xml:space="preserve"> ADDIN ZOTERO_ITEM CSL_CITATION {"citationID":"vbnY1JgI","properties":{"formattedCitation":"(Banerjee 2017)","plainCitation":"(Banerjee 2017)","dontUpdate":true,"noteIndex":0},"citationItems":[{"id":894,"uris":["http://zotero.org/users/9929100/items/2LM8QWVA"],"itemData":{"id":894,"type":"report","abstract":"Investment in online political ad marketing is gaining traction very rapidly. In United States, the 2016 presidential election campaign witnessed substantial increase in political advertisement expenditure in online platforms like YouTube. Therefore, political researchers are interested in analyzing trends of political ads in online medium. But currently there is no existing method or application that can classify political advertisement from a large dataset of online ads. In this paper, we attempted to solve this problem by proposing a model which can automatically classify political video advertisements using machine learning algorithms such as Support Vector Machine, Linear Regression and Naïve Bayes classifier. We will also focus on feature engineering for this classification problem. We applied text features and non-text features like color and facial features for classification purpose. We trained 3 different models with different feature set and compare results among them. We also created an ensemble with these 3 models and achieved an F1-score of 0.97.","event-place":"Ames (Iowa)","language":"en","note":"edition: 0\nDOI: 10.31274/cc-20240624-976","publisher":"Iowa State University","publisher-place":"Ames (Iowa)","source":"DOI.org (Crossref)","title":"Machine Learning Models for Political Video Advertisement Classification","URL":"https://dr.lib.iastate.edu/handle/20.500.12876/16917","author":[{"family":"Banerjee","given":"Boudhayan"}],"accessed":{"date-parts":[["2025",8,6]]},"issued":{"date-parts":[["2017",1,1]]}}}],"schema":"https://github.com/citation-style-language/schema/raw/master/csl-citation.json"} </w:instrText>
      </w:r>
      <w:r w:rsidRPr="0080590C">
        <w:fldChar w:fldCharType="separate"/>
      </w:r>
      <w:r w:rsidRPr="0080590C">
        <w:t>Banerjee (2017)</w:t>
      </w:r>
      <w:r w:rsidRPr="0080590C">
        <w:fldChar w:fldCharType="end"/>
      </w:r>
      <w:r w:rsidRPr="0080590C">
        <w:t>, que investiga y compara las principales herramientas de OCR</w:t>
      </w:r>
      <w:r w:rsidR="00190E10" w:rsidRPr="0080590C">
        <w:t xml:space="preserve">. </w:t>
      </w:r>
      <w:r w:rsidR="000835CD" w:rsidRPr="0080590C">
        <w:t xml:space="preserve">La API de </w:t>
      </w:r>
      <w:r w:rsidR="00CF0DB6" w:rsidRPr="0080590C">
        <w:rPr>
          <w:i/>
          <w:iCs/>
        </w:rPr>
        <w:t xml:space="preserve">Google Cloud Vision </w:t>
      </w:r>
      <w:r w:rsidR="000835CD" w:rsidRPr="0080590C">
        <w:t>proporciona puntuaciones entre 0 y 1 de confianza para los resultados de su reconocimiento óptico de caracteres</w:t>
      </w:r>
      <w:r w:rsidR="00CF0DB6">
        <w:t xml:space="preserve">. Para nuestro análisis </w:t>
      </w:r>
      <w:r w:rsidR="00152F3E" w:rsidRPr="0080590C">
        <w:t xml:space="preserve">se tomaron </w:t>
      </w:r>
      <w:r w:rsidR="00CF0DB6">
        <w:t xml:space="preserve">los textos de </w:t>
      </w:r>
      <w:r w:rsidR="00152F3E" w:rsidRPr="0080590C">
        <w:t>aquellas imágenes que obtuvieron más de 0</w:t>
      </w:r>
      <w:r w:rsidR="00CF0DB6">
        <w:t>,</w:t>
      </w:r>
      <w:r w:rsidR="00152F3E" w:rsidRPr="0080590C">
        <w:t>85 de confianza.</w:t>
      </w:r>
      <w:r w:rsidR="00CF0DB6">
        <w:t xml:space="preserve"> </w:t>
      </w:r>
    </w:p>
    <w:p w14:paraId="188D6DD0" w14:textId="5592AB44" w:rsidR="00CF0DB6" w:rsidRDefault="00625313" w:rsidP="00067E0C">
      <w:pPr>
        <w:spacing w:after="0" w:line="480" w:lineRule="auto"/>
        <w:ind w:firstLine="708"/>
      </w:pPr>
      <w:r>
        <w:t xml:space="preserve">Finalmente, se removieron </w:t>
      </w:r>
      <w:r w:rsidR="000B5C22">
        <w:t>106</w:t>
      </w:r>
      <w:r>
        <w:t xml:space="preserve"> anuncios a los que no se pudieron recuperar texto, por ejemplo, anuncios que sean solamente una foto sin texto o v</w:t>
      </w:r>
      <w:r w:rsidRPr="00625313">
        <w:t>ideos sin sonido</w:t>
      </w:r>
      <w:r>
        <w:t xml:space="preserve"> o instrumentales. </w:t>
      </w:r>
      <w:r w:rsidR="00446910" w:rsidRPr="0080590C">
        <w:t xml:space="preserve">El resultado de </w:t>
      </w:r>
      <w:r w:rsidR="00CF0DB6">
        <w:t xml:space="preserve">todos estos pasos </w:t>
      </w:r>
      <w:r w:rsidR="00446910" w:rsidRPr="0080590C">
        <w:t xml:space="preserve">es una base única consolidada que contiene, para cada anuncio, identificador, metadatos de la Ad Library </w:t>
      </w:r>
      <w:r w:rsidR="00CF0DB6">
        <w:t>(</w:t>
      </w:r>
      <w:r w:rsidR="00446910" w:rsidRPr="0080590C">
        <w:t>incluido el texto del cuerpo</w:t>
      </w:r>
      <w:r w:rsidR="00CF0DB6">
        <w:t>)</w:t>
      </w:r>
      <w:r w:rsidR="00446910" w:rsidRPr="0080590C">
        <w:t xml:space="preserve"> y</w:t>
      </w:r>
      <w:r w:rsidR="00CF0DB6">
        <w:t xml:space="preserve"> la</w:t>
      </w:r>
      <w:r w:rsidR="00446910" w:rsidRPr="0080590C">
        <w:t xml:space="preserve"> transcripción textual del audio o </w:t>
      </w:r>
      <w:r w:rsidR="00CF0DB6">
        <w:t xml:space="preserve">el </w:t>
      </w:r>
      <w:r w:rsidR="00446910" w:rsidRPr="0080590C">
        <w:t>texto de la imagen dependiendo del tipo de anuncio.</w:t>
      </w:r>
      <w:r w:rsidR="00491ADB">
        <w:t xml:space="preserve"> Sobre esta base se realizó el análisis de los anuncios para clasificarlos según la tipología desarrollada por </w:t>
      </w:r>
      <w:r w:rsidR="00491ADB">
        <w:fldChar w:fldCharType="begin"/>
      </w:r>
      <w:r w:rsidR="00C74782">
        <w:instrText xml:space="preserve"> ADDIN ZOTERO_ITEM CSL_CITATION {"citationID":"1yJROept","properties":{"formattedCitation":"(Stromer-Galley et\\uc0\\u160{}al. 2021)","plainCitation":"(Stromer-Galley et al. 2021)","dontUpdate":true,"noteIndex":0},"citationItems":[{"id":738,"uris":["http://zotero.org/users/9929100/items/E9BNZ925"],"itemData":{"id":738,"type":"article-journal","abstract":"Political campaigns have a temporal nature, which means that the strategic environment shapes the nature of candidate communication, especially the stages of campaigning—from surfacing to the general election. As social media platforms have matured and political campaigns have normalized their use of those platforms in this decade, this study examines the 2016 and 2020 US presidential campaign communication on Facebook and Twitter using data from the Illuminating project at Syracuse University. Our objective is to explore how the stages of the campaign cycle shape political communication. We also explore social media platforms as additional factors. Moreover, given the distinct and anti-normative communication style of Donald Trump, we examine whether his communication is an outlier relative to his competition in the primaries and the general election, and while a challenger in 2016 and an incumbent in 2020. Our results suggest that campaign messaging changes over the stages of the campaign, with candidates more likely to advocate for themselves during the crowded primaries, and then engage in high volumes of calls to action in the general election. The 2016 posts were substantially more attack-focused than in 2020. There is some evidence to suggest that the global pandemic affected the ways in which campaigns used their social media accounts. Of note, campaigns seem to heavily rely on Facebook for all types of strategic communication, even as the academic community primarily analyzes Twitter. Finally, Trump’s sum-total of his discourse is less negative than Clinton’s in 2016 and more advocacy-focused, overall.","container-title":"Social Media + Society","DOI":"10.1177/20563051211063465","ISSN":"2056-3051, 2056-3051","issue":"4","language":"en","license":"https://creativecommons.org/licenses/by-nc/4.0/","note":"publisher: SAGE Publications","source":"Crossref","title":"Political Messaging Over Time: A Comparison of US Presidential Candidate Facebook Posts and Tweets in 2016 and 2020","title-short":"Political Messaging Over Time","URL":"https://journals.sagepub.com/doi/10.1177/20563051211063465","volume":"7","author":[{"family":"Stromer-Galley","given":"Jennifer"},{"family":"Rossini","given":"Patrícia"},{"family":"Hemsley","given":"Jeff"},{"family":"Bolden","given":"Sarah E."},{"family":"McKernan","given":"Brian"}],"accessed":{"date-parts":[["2025",7,14]]},"issued":{"date-parts":[["2021",10]]}}}],"schema":"https://github.com/citation-style-language/schema/raw/master/csl-citation.json"} </w:instrText>
      </w:r>
      <w:r w:rsidR="00491ADB">
        <w:fldChar w:fldCharType="separate"/>
      </w:r>
      <w:r w:rsidR="00491ADB" w:rsidRPr="00491ADB">
        <w:rPr>
          <w:kern w:val="0"/>
        </w:rPr>
        <w:t xml:space="preserve">Stromer-Galley et al. </w:t>
      </w:r>
      <w:r w:rsidR="00491ADB">
        <w:rPr>
          <w:kern w:val="0"/>
        </w:rPr>
        <w:t>(</w:t>
      </w:r>
      <w:r w:rsidR="00491ADB" w:rsidRPr="00491ADB">
        <w:rPr>
          <w:kern w:val="0"/>
        </w:rPr>
        <w:t>2021)</w:t>
      </w:r>
      <w:r w:rsidR="00491ADB">
        <w:fldChar w:fldCharType="end"/>
      </w:r>
      <w:r w:rsidR="00491ADB">
        <w:t xml:space="preserve">. </w:t>
      </w:r>
      <w:r w:rsidR="00E92EEB" w:rsidRPr="0080590C">
        <w:t xml:space="preserve"> </w:t>
      </w:r>
    </w:p>
    <w:p w14:paraId="5FDA5FFE" w14:textId="2D34F997" w:rsidR="00AE3D1B" w:rsidRPr="0088709D" w:rsidRDefault="00491ADB" w:rsidP="00067E0C">
      <w:pPr>
        <w:spacing w:after="0" w:line="480" w:lineRule="auto"/>
        <w:ind w:firstLine="708"/>
      </w:pPr>
      <w:r>
        <w:t>Para la clasificación s</w:t>
      </w:r>
      <w:r w:rsidR="00E92EEB" w:rsidRPr="0080590C">
        <w:t xml:space="preserve">e </w:t>
      </w:r>
      <w:r w:rsidR="0073508F" w:rsidRPr="0080590C">
        <w:t>desarrolló</w:t>
      </w:r>
      <w:r w:rsidR="00E92EEB" w:rsidRPr="0080590C">
        <w:t xml:space="preserve"> un</w:t>
      </w:r>
      <w:r>
        <w:t xml:space="preserve"> modelo</w:t>
      </w:r>
      <w:r w:rsidR="00E92EEB" w:rsidRPr="0080590C">
        <w:t xml:space="preserve"> de aprendizaje automático semi</w:t>
      </w:r>
      <w:r>
        <w:t>-</w:t>
      </w:r>
      <w:r w:rsidR="00E92EEB" w:rsidRPr="0080590C">
        <w:t xml:space="preserve">supervisado utilizando un BERT </w:t>
      </w:r>
      <w:r w:rsidR="00E92EEB" w:rsidRPr="0080590C">
        <w:fldChar w:fldCharType="begin"/>
      </w:r>
      <w:r w:rsidR="00E92EEB" w:rsidRPr="0080590C">
        <w:instrText xml:space="preserve"> ADDIN ZOTERO_ITEM CSL_CITATION {"citationID":"ju1XIaUf","properties":{"formattedCitation":"(Devlin et\\uc0\\u160{}al. 2019)","plainCitation":"(Devlin et al. 2019)","noteIndex":0},"citationItems":[{"id":1204,"uris":["http://zotero.org/users/9929100/items/EH7DJ5XR"],"itemData":{"id":1204,"type":"paper-conference","abstract":"We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Papers)","DOI":"10.18653/v1/N19-1423","event-place":"Minneapolis, Minnesota","event-title":"NAACL-HLT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2025",8,12]]},"issued":{"date-parts":[["2019",6]]}}}],"schema":"https://github.com/citation-style-language/schema/raw/master/csl-citation.json"} </w:instrText>
      </w:r>
      <w:r w:rsidR="00E92EEB" w:rsidRPr="0080590C">
        <w:fldChar w:fldCharType="separate"/>
      </w:r>
      <w:r w:rsidR="00E92EEB" w:rsidRPr="0080590C">
        <w:rPr>
          <w:kern w:val="0"/>
        </w:rPr>
        <w:t>(Devlin et al. 2019)</w:t>
      </w:r>
      <w:r w:rsidR="00E92EEB" w:rsidRPr="0080590C">
        <w:fldChar w:fldCharType="end"/>
      </w:r>
      <w:r w:rsidR="00E92EEB" w:rsidRPr="0080590C">
        <w:t xml:space="preserve">. En base a la naturaleza de los anuncios se </w:t>
      </w:r>
      <w:r w:rsidR="00C529EB" w:rsidRPr="0080590C">
        <w:t>elig</w:t>
      </w:r>
      <w:r>
        <w:t>ió</w:t>
      </w:r>
      <w:r w:rsidR="00E92EEB" w:rsidRPr="0080590C">
        <w:t xml:space="preserve"> el modelo ROUBERTa </w:t>
      </w:r>
      <w:r w:rsidR="00E92EEB" w:rsidRPr="0080590C">
        <w:fldChar w:fldCharType="begin"/>
      </w:r>
      <w:r w:rsidR="00E92EEB" w:rsidRPr="0080590C">
        <w:instrText xml:space="preserve"> ADDIN ZOTERO_ITEM CSL_CITATION {"citationID":"DLinneJi","properties":{"formattedCitation":"(Filevich et\\uc0\\u160{}al. 2024)","plainCitation":"(Filevich et al. 2024)","noteIndex":0},"citationItems":[{"id":1770,"uris":["http://zotero.org/users/9929100/items/H82J95HM"],"itemData":{"id":1770,"type":"paper-conference","abstract":"This paper presents a language model trained from scratch exclusively on a brand new corpus consisting of about 6 GiB of Uruguayan newspaper text. We trained the model for 30 days on a single Nvidia P100 using the RoBERTa-base architecture but with considerably fewer parameters than other standard RoBERTa models. We evaluated the model on two NLP tasks and found that it outperforms BETO, the widely used Spanish BERT pre-trained model. We also compared our model on the masked-word prediction task with two popular multilingual BERT-based models, Multilingual BERT and XLM-RoBERTa, obtaining outstanding results on sentences from the Uruguayan press domain. Our experiments show that training a language model on a domain-specific corpus can significantly improve performance even when the model is smaller and was trained with significantly less data than more standard pre-trained models.","container-title":"Proceedings of the Second International Workshop Towards Digital Language Equality (TDLE): Focusing on Sustainability @ LREC-COLING 2024","event-place":"Torino, Italia","page":"53–60","publisher":"ELRA and ICCL","publisher-place":"Torino, Italia","source":"ACLWeb","title":"A Language Model Trained on Uruguayan Spanish News Text","URL":"https://aclanthology.org/2024.tdle-1.5/","author":[{"family":"Filevich","given":"Juan Pablo"},{"family":"Marco","given":"Gonzalo"},{"family":"Castro","given":"Santiago"},{"family":"Chiruzzo","given":"Luis"},{"family":"Rosá","given":"Aiala"}],"editor":[{"family":"Gaspari","given":"Federico"},{"family":"Moorkens","given":"Joss"},{"family":"Aldabe","given":"Itziar"},{"family":"Farwell","given":"Aritz"},{"family":"Altuna","given":"Begona"},{"family":"Piperidis","given":"Stelios"},{"family":"Rehm","given":"Georg"},{"family":"Rigau","given":"German"}],"accessed":{"date-parts":[["2025",10,13]]},"issued":{"date-parts":[["2024",5]]}}}],"schema":"https://github.com/citation-style-language/schema/raw/master/csl-citation.json"} </w:instrText>
      </w:r>
      <w:r w:rsidR="00E92EEB" w:rsidRPr="0080590C">
        <w:fldChar w:fldCharType="separate"/>
      </w:r>
      <w:r w:rsidR="00E92EEB" w:rsidRPr="0080590C">
        <w:rPr>
          <w:kern w:val="0"/>
        </w:rPr>
        <w:t>(Filevich et al. 2024)</w:t>
      </w:r>
      <w:r w:rsidR="00E92EEB" w:rsidRPr="0080590C">
        <w:fldChar w:fldCharType="end"/>
      </w:r>
      <w:r w:rsidR="00C529EB" w:rsidRPr="0080590C">
        <w:t>.</w:t>
      </w:r>
      <w:r>
        <w:t xml:space="preserve"> Este modelo fue </w:t>
      </w:r>
      <w:r>
        <w:lastRenderedPageBreak/>
        <w:t xml:space="preserve">entrenado con </w:t>
      </w:r>
      <w:r w:rsidR="00C529EB" w:rsidRPr="0080590C">
        <w:t>textos de prensa uruguaya</w:t>
      </w:r>
      <w:r w:rsidR="00E92EEB" w:rsidRPr="0080590C">
        <w:t xml:space="preserve"> </w:t>
      </w:r>
      <w:r>
        <w:t xml:space="preserve">y </w:t>
      </w:r>
      <w:r w:rsidR="00C529EB" w:rsidRPr="0080590C">
        <w:t xml:space="preserve">desarrollado específicamente para manejar </w:t>
      </w:r>
      <w:r w:rsidR="00C529EB" w:rsidRPr="0088709D">
        <w:t xml:space="preserve">documentos que contengan expresiones, jerga y nombres de la coyuntura local. </w:t>
      </w:r>
    </w:p>
    <w:p w14:paraId="6D6ECC97" w14:textId="531AF63C" w:rsidR="00491ADB" w:rsidRPr="0088709D" w:rsidRDefault="00491ADB" w:rsidP="00067E0C">
      <w:pPr>
        <w:spacing w:after="0" w:line="480" w:lineRule="auto"/>
        <w:ind w:firstLine="708"/>
      </w:pPr>
      <w:r w:rsidRPr="0088709D">
        <w:t xml:space="preserve">Se optó por un BERT sobre </w:t>
      </w:r>
      <w:r w:rsidR="0085014A" w:rsidRPr="0088709D">
        <w:t>los grandes modelos de lenguaje (LLM) como ChatGPT de OpenAI o DeepSeek</w:t>
      </w:r>
      <w:r w:rsidRPr="0088709D">
        <w:t xml:space="preserve">. Si bien la literatura sugiere que los LLM </w:t>
      </w:r>
      <w:r w:rsidR="0085014A" w:rsidRPr="0088709D">
        <w:t xml:space="preserve">tienen una performance en tareas de procesamiento de lenguaje natural comparable a métodos manuales (Bojić et al. 2025; Gilardi et al. 2023; Ornstein et al. 2025), los modelos BERT de machine learning pre-entrenados con datos contextualizados superan </w:t>
      </w:r>
      <w:r w:rsidRPr="0088709D">
        <w:t>su</w:t>
      </w:r>
      <w:r w:rsidR="0085014A" w:rsidRPr="0088709D">
        <w:t xml:space="preserve"> performance, son más económicos y replicables (Bosley et al. 2023; Chae y Davidson 2025; Edwards y Camacho-Collados 2024; Wang et al. 2024). </w:t>
      </w:r>
    </w:p>
    <w:p w14:paraId="5CDD370F" w14:textId="04463001" w:rsidR="0088709D" w:rsidRDefault="0088709D" w:rsidP="00067E0C">
      <w:pPr>
        <w:spacing w:after="0" w:line="480" w:lineRule="auto"/>
        <w:ind w:firstLine="708"/>
      </w:pPr>
      <w:r>
        <w:t xml:space="preserve">Para entrenar el modelo </w:t>
      </w:r>
      <w:r w:rsidRPr="0080590C">
        <w:t xml:space="preserve">ROUBERTa </w:t>
      </w:r>
      <w:r>
        <w:t xml:space="preserve">se tomaron </w:t>
      </w:r>
      <w:r w:rsidRPr="0080590C">
        <w:t xml:space="preserve">las recomendaciones pautadas por </w:t>
      </w:r>
      <w:r w:rsidRPr="0080590C">
        <w:fldChar w:fldCharType="begin"/>
      </w:r>
      <w:r w:rsidRPr="0080590C">
        <w:instrText xml:space="preserve"> ADDIN ZOTERO_ITEM CSL_CITATION {"citationID":"xSfwupqK","properties":{"formattedCitation":"(Stromer-Galley y Rossini 2024)","plainCitation":"(Stromer-Galley y Rossini 2024)","dontUpdate":true,"noteIndex":0},"citationItems":[{"id":1784,"uris":["http://zotero.org/users/9929100/items/JB6VCWG9"],"itemData":{"id":1784,"type":"article-journal","abstract":"Scholars have access to a rich source of political discourse via social media. Although computational approaches to understand this communication is being used, they tend to be unsupervised and off-the-shelf algorithms to describe a corpus of messages. This article details our approach at using human-supervised machine learning to study political campaign messages. Although some declare this technique too labor-intensive, it provides theoretically-informed classification, making it more accurate and reliable. This article describes the design decisions and accuracy of our algorithms, and the applicability of the approach to classifying messages from Facebook and Twitter across two cultures and to advertisements.","container-title":"Journal of Information Technology &amp; Politics","DOI":"10.1080/19331681.2023.2231436","ISSN":"1933-1681, 1933-169X","issue":"4","journalAbbreviation":"Journal of Information Technology &amp; Politics","language":"en","page":"410-423","source":"DOI.org (Crossref)","title":"Categorizing political campaign messages on social media using supervised machine learning","volume":"21","author":[{"family":"Stromer-Galley","given":"Jennifer"},{"family":"Rossini","given":"Patricia"}],"issued":{"date-parts":[["2024",10]]}}}],"schema":"https://github.com/citation-style-language/schema/raw/master/csl-citation.json"} </w:instrText>
      </w:r>
      <w:r w:rsidRPr="0080590C">
        <w:fldChar w:fldCharType="separate"/>
      </w:r>
      <w:r w:rsidRPr="0080590C">
        <w:t>Stromer-Galley y Rossini (2024)</w:t>
      </w:r>
      <w:r w:rsidRPr="0080590C">
        <w:fldChar w:fldCharType="end"/>
      </w:r>
      <w:r w:rsidR="00152F0C">
        <w:t xml:space="preserve"> </w:t>
      </w:r>
      <w:r w:rsidR="00152F0C" w:rsidRPr="00152F0C">
        <w:t>para la construcción de clasificadores</w:t>
      </w:r>
      <w:r>
        <w:t>.</w:t>
      </w:r>
      <w:r w:rsidRPr="0080590C">
        <w:t xml:space="preserve"> </w:t>
      </w:r>
      <w:r>
        <w:t>L</w:t>
      </w:r>
      <w:r w:rsidRPr="0080590C">
        <w:t xml:space="preserve">uego de establecer el esquema de codificación se entrenó </w:t>
      </w:r>
      <w:r>
        <w:t xml:space="preserve">a dos codificadores </w:t>
      </w:r>
      <w:r w:rsidRPr="0080590C">
        <w:t>en el uso del manual de codificación</w:t>
      </w:r>
      <w:r w:rsidRPr="0088709D">
        <w:rPr>
          <w:rStyle w:val="Refdenotaalpie"/>
        </w:rPr>
        <w:t xml:space="preserve"> </w:t>
      </w:r>
      <w:r w:rsidRPr="008F46EA">
        <w:rPr>
          <w:rStyle w:val="Refdenotaalpie"/>
        </w:rPr>
        <w:footnoteReference w:id="7"/>
      </w:r>
      <w:r>
        <w:t>. Estos codificadores asignar</w:t>
      </w:r>
      <w:r w:rsidR="00152F0C">
        <w:t>on</w:t>
      </w:r>
      <w:r>
        <w:t xml:space="preserve"> manualmente </w:t>
      </w:r>
      <w:r w:rsidR="00152F0C">
        <w:t xml:space="preserve">de forma independiente </w:t>
      </w:r>
      <w:r>
        <w:t xml:space="preserve">los tipos de anuncio a </w:t>
      </w:r>
      <w:r w:rsidRPr="0088709D">
        <w:t>un subconjunto de</w:t>
      </w:r>
      <w:r w:rsidR="00F64740">
        <w:t xml:space="preserve"> anuncios</w:t>
      </w:r>
      <w:r w:rsidRPr="0088709D">
        <w:t xml:space="preserve"> estratificad</w:t>
      </w:r>
      <w:r>
        <w:t>os</w:t>
      </w:r>
      <w:r w:rsidRPr="0088709D">
        <w:t xml:space="preserve"> por partido y etapa electoral</w:t>
      </w:r>
      <w:r w:rsidR="00F64740">
        <w:t>, 1000 anuncios de entrenamiento y 236 de validación</w:t>
      </w:r>
      <w:r w:rsidRPr="0088709D">
        <w:t>.</w:t>
      </w:r>
      <w:r w:rsidR="009839B7">
        <w:t xml:space="preserve"> A</w:t>
      </w:r>
      <w:r w:rsidR="009839B7" w:rsidRPr="0088709D">
        <w:t xml:space="preserve">mbos </w:t>
      </w:r>
      <w:r w:rsidR="009839B7">
        <w:t>codificadores</w:t>
      </w:r>
      <w:r w:rsidR="009839B7" w:rsidRPr="0088709D">
        <w:t xml:space="preserve"> realizaron la codificación de forma independiente</w:t>
      </w:r>
      <w:r w:rsidR="009839B7">
        <w:t>.</w:t>
      </w:r>
      <w:r w:rsidR="009839B7" w:rsidRPr="0080590C">
        <w:t xml:space="preserve"> </w:t>
      </w:r>
      <w:r w:rsidR="009839B7">
        <w:t>L</w:t>
      </w:r>
      <w:r w:rsidRPr="0080590C">
        <w:t xml:space="preserve">as discrepancias </w:t>
      </w:r>
      <w:r>
        <w:t xml:space="preserve">entre codificadores </w:t>
      </w:r>
      <w:r w:rsidRPr="0080590C">
        <w:t>fueron posteriormente discutidas y adjudicadas para construir un conjunto de entrenamiento con etiquetas consensuadas</w:t>
      </w:r>
      <w:r>
        <w:t>.</w:t>
      </w:r>
      <w:r w:rsidRPr="0080590C">
        <w:t xml:space="preserve"> </w:t>
      </w:r>
      <w:r w:rsidRPr="0088709D">
        <w:t xml:space="preserve">Este conjunto </w:t>
      </w:r>
      <w:r>
        <w:t>fue utilizado</w:t>
      </w:r>
      <w:r w:rsidRPr="0088709D">
        <w:t xml:space="preserve"> como referencia para entrenar y ajustar el modelo clasificador, medir su desempeño y auditar el proceso</w:t>
      </w:r>
      <w:r w:rsidR="00470F26">
        <w:rPr>
          <w:rStyle w:val="Refdenotaalpie"/>
        </w:rPr>
        <w:footnoteReference w:id="8"/>
      </w:r>
      <w:r w:rsidRPr="0080590C">
        <w:t xml:space="preserve">. </w:t>
      </w:r>
    </w:p>
    <w:p w14:paraId="64154FF2" w14:textId="177B49E3" w:rsidR="00D12DEA" w:rsidRDefault="00713F72" w:rsidP="00067E0C">
      <w:pPr>
        <w:spacing w:after="0" w:line="480" w:lineRule="auto"/>
        <w:ind w:firstLine="708"/>
      </w:pPr>
      <w:r w:rsidRPr="00713F72">
        <w:t xml:space="preserve">Evaluamos nuestro clasificador utilizando puntuaciones F1 promediadas a nivel micro y macro, </w:t>
      </w:r>
      <w:r w:rsidRPr="00713F72">
        <w:rPr>
          <w:i/>
          <w:iCs/>
        </w:rPr>
        <w:t>precision</w:t>
      </w:r>
      <w:r w:rsidRPr="00713F72">
        <w:t xml:space="preserve"> y</w:t>
      </w:r>
      <w:r>
        <w:t xml:space="preserve"> </w:t>
      </w:r>
      <w:r>
        <w:rPr>
          <w:i/>
          <w:iCs/>
        </w:rPr>
        <w:t>recall</w:t>
      </w:r>
      <w:r w:rsidRPr="00713F72">
        <w:t xml:space="preserve">. </w:t>
      </w:r>
      <w:r w:rsidR="00D12DEA" w:rsidRPr="00D12DEA">
        <w:t xml:space="preserve">La precisión mide la proporción de predicciones </w:t>
      </w:r>
      <w:r w:rsidR="00D12DEA" w:rsidRPr="00D12DEA">
        <w:lastRenderedPageBreak/>
        <w:t>positivas que fueron correctas. Un valor alto indica que el modelo comete pocos falsos positivos, es decir, rara vez asigna una categoría cuando en realidad no corresponde.</w:t>
      </w:r>
      <w:r w:rsidR="00D12DEA">
        <w:t xml:space="preserve"> </w:t>
      </w:r>
      <w:r w:rsidR="00D12DEA" w:rsidRPr="00D12DEA">
        <w:t xml:space="preserve">El </w:t>
      </w:r>
      <w:r w:rsidR="00D12DEA" w:rsidRPr="00D12DEA">
        <w:rPr>
          <w:i/>
          <w:iCs/>
        </w:rPr>
        <w:t>recall</w:t>
      </w:r>
      <w:r w:rsidR="00D12DEA" w:rsidRPr="00D12DEA">
        <w:t xml:space="preserve"> mide la proporción de casos reales que el modelo logra identificar correctamente</w:t>
      </w:r>
      <w:r w:rsidR="00D12DEA">
        <w:t xml:space="preserve">, </w:t>
      </w:r>
      <w:r w:rsidR="00D12DEA" w:rsidRPr="00D12DEA">
        <w:t>indica que el sistema comete pocos falsos negativos.</w:t>
      </w:r>
      <w:r w:rsidR="00D12DEA">
        <w:t xml:space="preserve"> </w:t>
      </w:r>
      <w:r w:rsidR="00D12DEA" w:rsidRPr="00D12DEA">
        <w:t xml:space="preserve">El F1 es la media armónica entre precisión y </w:t>
      </w:r>
      <w:r w:rsidR="00D12DEA" w:rsidRPr="00D12DEA">
        <w:rPr>
          <w:i/>
          <w:iCs/>
        </w:rPr>
        <w:t>recall</w:t>
      </w:r>
      <w:r w:rsidR="00D12DEA">
        <w:t>, e</w:t>
      </w:r>
      <w:r w:rsidRPr="00713F72">
        <w:t>l modelo alcanza una puntuación micro-F1 de 0,78 y una macro-F1 de 0,75 en</w:t>
      </w:r>
      <w:r w:rsidR="00A90A70">
        <w:t xml:space="preserve"> los </w:t>
      </w:r>
      <w:r w:rsidRPr="00713F72">
        <w:t xml:space="preserve">seis </w:t>
      </w:r>
      <w:r w:rsidR="00A90A70">
        <w:t>tipos de anuncios</w:t>
      </w:r>
      <w:r w:rsidRPr="00713F72">
        <w:t xml:space="preserve">. </w:t>
      </w:r>
    </w:p>
    <w:p w14:paraId="44BA8DC4" w14:textId="54ED16E6" w:rsidR="00306F07" w:rsidRDefault="00D12DEA" w:rsidP="00067E0C">
      <w:pPr>
        <w:spacing w:after="0" w:line="480" w:lineRule="auto"/>
        <w:ind w:firstLine="708"/>
      </w:pPr>
      <w:r>
        <w:t>En conjunto, los resultados muestran un desempeño estable en la mayoría de las categorías</w:t>
      </w:r>
      <w:r w:rsidR="001F65E8">
        <w:rPr>
          <w:rStyle w:val="Refdenotaalpie"/>
        </w:rPr>
        <w:footnoteReference w:id="9"/>
      </w:r>
      <w:r>
        <w:t>, especialmente en Promoción, Tema y Ceremonial, con F1 mayores a 0,75. Categorías con mayor ambigüedad semántica y menos representad</w:t>
      </w:r>
      <w:r w:rsidR="005B50AD">
        <w:t>a</w:t>
      </w:r>
      <w:r>
        <w:t>s, como Ataque, presentan valores de F1 más bajos (0,51). El umbral de clasificación empleado (0,36) fue seleccionado para maximizar el F1</w:t>
      </w:r>
      <w:r w:rsidR="005B50AD">
        <w:t xml:space="preserve">. </w:t>
      </w:r>
      <w:r w:rsidRPr="00D12DEA">
        <w:t xml:space="preserve">En particular, el umbral </w:t>
      </w:r>
      <w:r>
        <w:t xml:space="preserve">escogido incrementa el </w:t>
      </w:r>
      <w:r w:rsidRPr="00D12DEA">
        <w:rPr>
          <w:i/>
          <w:iCs/>
        </w:rPr>
        <w:t xml:space="preserve">recall </w:t>
      </w:r>
      <w:r w:rsidRPr="00D12DEA">
        <w:t>de categorías menos frecuentes</w:t>
      </w:r>
      <w:r>
        <w:t>,</w:t>
      </w:r>
      <w:r w:rsidRPr="00D12DEA">
        <w:t xml:space="preserve"> sin sacrificar de manera sustantiva la precisión, elevando así el F1general del modelo</w:t>
      </w:r>
      <w:r>
        <w:t xml:space="preserve">. </w:t>
      </w:r>
      <w:r w:rsidR="00F9783F">
        <w:t>La Tabla 1 presenta las métricas de evaluación por tipo de anuncio.</w:t>
      </w:r>
    </w:p>
    <w:p w14:paraId="7DC3C508" w14:textId="77777777" w:rsidR="00067E0C" w:rsidRDefault="00067E0C" w:rsidP="00D12DEA">
      <w:pPr>
        <w:spacing w:after="0" w:line="480" w:lineRule="auto"/>
        <w:ind w:firstLine="708"/>
      </w:pPr>
    </w:p>
    <w:p w14:paraId="3487FE33" w14:textId="77777777" w:rsidR="009B5BD2" w:rsidRDefault="009B5BD2" w:rsidP="00D12DEA">
      <w:pPr>
        <w:spacing w:after="0" w:line="480" w:lineRule="auto"/>
        <w:ind w:firstLine="708"/>
      </w:pPr>
    </w:p>
    <w:p w14:paraId="210658EC" w14:textId="77777777" w:rsidR="009B5BD2" w:rsidRDefault="009B5BD2" w:rsidP="00D12DEA">
      <w:pPr>
        <w:spacing w:after="0" w:line="480" w:lineRule="auto"/>
        <w:ind w:firstLine="708"/>
      </w:pPr>
    </w:p>
    <w:p w14:paraId="63ED03D0" w14:textId="77777777" w:rsidR="009B5BD2" w:rsidRDefault="009B5BD2" w:rsidP="00D12DEA">
      <w:pPr>
        <w:spacing w:after="0" w:line="480" w:lineRule="auto"/>
        <w:ind w:firstLine="708"/>
      </w:pPr>
    </w:p>
    <w:p w14:paraId="31CCFA15" w14:textId="77777777" w:rsidR="009B5BD2" w:rsidRDefault="009B5BD2" w:rsidP="00D12DEA">
      <w:pPr>
        <w:spacing w:after="0" w:line="480" w:lineRule="auto"/>
        <w:ind w:firstLine="708"/>
      </w:pPr>
    </w:p>
    <w:p w14:paraId="3FAD4F6B" w14:textId="77777777" w:rsidR="009B5BD2" w:rsidRDefault="009B5BD2" w:rsidP="00D12DEA">
      <w:pPr>
        <w:spacing w:after="0" w:line="480" w:lineRule="auto"/>
        <w:ind w:firstLine="708"/>
      </w:pPr>
    </w:p>
    <w:p w14:paraId="22644F9C" w14:textId="77777777" w:rsidR="009B5BD2" w:rsidRDefault="009B5BD2" w:rsidP="00D12DEA">
      <w:pPr>
        <w:spacing w:after="0" w:line="480" w:lineRule="auto"/>
        <w:ind w:firstLine="708"/>
      </w:pPr>
    </w:p>
    <w:p w14:paraId="4D140DDA" w14:textId="623C3F08" w:rsidR="0085014A" w:rsidRDefault="00306F07" w:rsidP="00306F07">
      <w:pPr>
        <w:spacing w:after="0" w:line="480" w:lineRule="auto"/>
        <w:ind w:firstLine="708"/>
      </w:pPr>
      <w:r>
        <w:lastRenderedPageBreak/>
        <w:t>Tabla 1. Métricas de evaluación del modelo por tipos de anuncio</w:t>
      </w:r>
    </w:p>
    <w:tbl>
      <w:tblPr>
        <w:tblStyle w:val="Tablaconcuadrcula"/>
        <w:tblW w:w="0" w:type="auto"/>
        <w:tblLook w:val="04A0" w:firstRow="1" w:lastRow="0" w:firstColumn="1" w:lastColumn="0" w:noHBand="0" w:noVBand="1"/>
      </w:tblPr>
      <w:tblGrid>
        <w:gridCol w:w="2410"/>
        <w:gridCol w:w="1985"/>
        <w:gridCol w:w="1983"/>
        <w:gridCol w:w="2126"/>
      </w:tblGrid>
      <w:tr w:rsidR="00306F07" w14:paraId="104CD57B" w14:textId="77777777" w:rsidTr="00306F07">
        <w:trPr>
          <w:cnfStyle w:val="100000000000" w:firstRow="1" w:lastRow="0" w:firstColumn="0" w:lastColumn="0" w:oddVBand="0" w:evenVBand="0" w:oddHBand="0" w:evenHBand="0" w:firstRowFirstColumn="0" w:firstRowLastColumn="0" w:lastRowFirstColumn="0" w:lastRowLastColumn="0"/>
        </w:trPr>
        <w:tc>
          <w:tcPr>
            <w:tcW w:w="2410" w:type="dxa"/>
          </w:tcPr>
          <w:p w14:paraId="2D4E3FFC" w14:textId="2019B0EE" w:rsidR="00306F07" w:rsidRDefault="00306F07" w:rsidP="00306F07">
            <w:pPr>
              <w:spacing w:line="480" w:lineRule="auto"/>
            </w:pPr>
            <w:r>
              <w:t>Categoría</w:t>
            </w:r>
          </w:p>
        </w:tc>
        <w:tc>
          <w:tcPr>
            <w:tcW w:w="1985" w:type="dxa"/>
          </w:tcPr>
          <w:p w14:paraId="2DF96EA1" w14:textId="2E605BAC" w:rsidR="00306F07" w:rsidRDefault="00306F07" w:rsidP="00306F07">
            <w:pPr>
              <w:spacing w:line="480" w:lineRule="auto"/>
            </w:pPr>
            <w:r>
              <w:t>Precisión</w:t>
            </w:r>
          </w:p>
        </w:tc>
        <w:tc>
          <w:tcPr>
            <w:tcW w:w="1983" w:type="dxa"/>
          </w:tcPr>
          <w:p w14:paraId="5515E649" w14:textId="58D4D9E2" w:rsidR="00306F07" w:rsidRDefault="00306F07" w:rsidP="00306F07">
            <w:pPr>
              <w:spacing w:line="480" w:lineRule="auto"/>
            </w:pPr>
            <w:r>
              <w:t>Recall</w:t>
            </w:r>
          </w:p>
        </w:tc>
        <w:tc>
          <w:tcPr>
            <w:tcW w:w="2126" w:type="dxa"/>
          </w:tcPr>
          <w:p w14:paraId="44306984" w14:textId="3891FE17" w:rsidR="00306F07" w:rsidRDefault="00306F07" w:rsidP="00306F07">
            <w:pPr>
              <w:spacing w:line="480" w:lineRule="auto"/>
            </w:pPr>
            <w:r>
              <w:t>F1</w:t>
            </w:r>
          </w:p>
        </w:tc>
      </w:tr>
      <w:tr w:rsidR="00306F07" w14:paraId="5BF8B67D" w14:textId="77777777" w:rsidTr="00306F07">
        <w:tc>
          <w:tcPr>
            <w:tcW w:w="2410" w:type="dxa"/>
          </w:tcPr>
          <w:p w14:paraId="6EA69211" w14:textId="1B173C64" w:rsidR="00306F07" w:rsidRDefault="00306F07" w:rsidP="00306F07">
            <w:pPr>
              <w:spacing w:line="480" w:lineRule="auto"/>
            </w:pPr>
            <w:r>
              <w:t>Promoción</w:t>
            </w:r>
          </w:p>
        </w:tc>
        <w:tc>
          <w:tcPr>
            <w:tcW w:w="1985" w:type="dxa"/>
          </w:tcPr>
          <w:p w14:paraId="073E93D6" w14:textId="0CAC668B" w:rsidR="00306F07" w:rsidRDefault="00306F07" w:rsidP="00306F07">
            <w:pPr>
              <w:spacing w:line="480" w:lineRule="auto"/>
              <w:jc w:val="right"/>
            </w:pPr>
            <w:r w:rsidRPr="00306F07">
              <w:t>0,</w:t>
            </w:r>
            <w:r w:rsidR="002B142A">
              <w:t>78</w:t>
            </w:r>
          </w:p>
        </w:tc>
        <w:tc>
          <w:tcPr>
            <w:tcW w:w="1983" w:type="dxa"/>
          </w:tcPr>
          <w:p w14:paraId="06BA1D63" w14:textId="7222C17C" w:rsidR="00306F07" w:rsidRDefault="00306F07" w:rsidP="00306F07">
            <w:pPr>
              <w:spacing w:line="480" w:lineRule="auto"/>
              <w:jc w:val="right"/>
            </w:pPr>
            <w:r>
              <w:t>0,</w:t>
            </w:r>
            <w:r w:rsidR="002B142A">
              <w:t>96</w:t>
            </w:r>
          </w:p>
        </w:tc>
        <w:tc>
          <w:tcPr>
            <w:tcW w:w="2126" w:type="dxa"/>
          </w:tcPr>
          <w:p w14:paraId="2D060BA0" w14:textId="1988A988" w:rsidR="00306F07" w:rsidRDefault="00306F07" w:rsidP="00306F07">
            <w:pPr>
              <w:spacing w:line="480" w:lineRule="auto"/>
              <w:jc w:val="right"/>
            </w:pPr>
            <w:r>
              <w:t>0,86</w:t>
            </w:r>
          </w:p>
        </w:tc>
      </w:tr>
      <w:tr w:rsidR="00306F07" w14:paraId="4F01C11D" w14:textId="77777777" w:rsidTr="00306F07">
        <w:tc>
          <w:tcPr>
            <w:tcW w:w="2410" w:type="dxa"/>
          </w:tcPr>
          <w:p w14:paraId="6F7DD08B" w14:textId="6C0BB58C" w:rsidR="00306F07" w:rsidRDefault="00306F07" w:rsidP="00306F07">
            <w:pPr>
              <w:spacing w:line="480" w:lineRule="auto"/>
            </w:pPr>
            <w:r>
              <w:t>Ataque</w:t>
            </w:r>
          </w:p>
        </w:tc>
        <w:tc>
          <w:tcPr>
            <w:tcW w:w="1985" w:type="dxa"/>
          </w:tcPr>
          <w:p w14:paraId="48B65D5B" w14:textId="7FE6545B" w:rsidR="00306F07" w:rsidRDefault="00306F07" w:rsidP="00306F07">
            <w:pPr>
              <w:spacing w:line="480" w:lineRule="auto"/>
              <w:jc w:val="right"/>
            </w:pPr>
            <w:r>
              <w:t>0,</w:t>
            </w:r>
            <w:r w:rsidR="002B142A">
              <w:t>68</w:t>
            </w:r>
          </w:p>
        </w:tc>
        <w:tc>
          <w:tcPr>
            <w:tcW w:w="1983" w:type="dxa"/>
          </w:tcPr>
          <w:p w14:paraId="17284573" w14:textId="57D4F2DD" w:rsidR="00306F07" w:rsidRDefault="00306F07" w:rsidP="00306F07">
            <w:pPr>
              <w:spacing w:line="480" w:lineRule="auto"/>
              <w:jc w:val="right"/>
            </w:pPr>
            <w:r>
              <w:t>0,</w:t>
            </w:r>
            <w:r w:rsidR="002B142A">
              <w:t>41</w:t>
            </w:r>
          </w:p>
        </w:tc>
        <w:tc>
          <w:tcPr>
            <w:tcW w:w="2126" w:type="dxa"/>
          </w:tcPr>
          <w:p w14:paraId="7EFD1B00" w14:textId="2D7B4799" w:rsidR="00306F07" w:rsidRDefault="00306F07" w:rsidP="00306F07">
            <w:pPr>
              <w:spacing w:line="480" w:lineRule="auto"/>
              <w:jc w:val="right"/>
            </w:pPr>
            <w:r>
              <w:t>0,</w:t>
            </w:r>
            <w:r w:rsidR="002B142A">
              <w:t>51</w:t>
            </w:r>
          </w:p>
        </w:tc>
      </w:tr>
      <w:tr w:rsidR="00306F07" w14:paraId="3B12AD1B" w14:textId="77777777" w:rsidTr="00306F07">
        <w:tc>
          <w:tcPr>
            <w:tcW w:w="2410" w:type="dxa"/>
          </w:tcPr>
          <w:p w14:paraId="115A67F4" w14:textId="6052FBB4" w:rsidR="00306F07" w:rsidRDefault="00306F07" w:rsidP="00306F07">
            <w:pPr>
              <w:spacing w:line="480" w:lineRule="auto"/>
            </w:pPr>
            <w:r>
              <w:t>Imagen</w:t>
            </w:r>
          </w:p>
        </w:tc>
        <w:tc>
          <w:tcPr>
            <w:tcW w:w="1985" w:type="dxa"/>
          </w:tcPr>
          <w:p w14:paraId="5452BD21" w14:textId="238DB150" w:rsidR="00306F07" w:rsidRDefault="00306F07" w:rsidP="00306F07">
            <w:pPr>
              <w:spacing w:line="480" w:lineRule="auto"/>
              <w:jc w:val="right"/>
            </w:pPr>
            <w:r>
              <w:t>0,</w:t>
            </w:r>
            <w:r w:rsidR="002B142A">
              <w:t>71</w:t>
            </w:r>
          </w:p>
        </w:tc>
        <w:tc>
          <w:tcPr>
            <w:tcW w:w="1983" w:type="dxa"/>
          </w:tcPr>
          <w:p w14:paraId="052E6B64" w14:textId="51196648" w:rsidR="00306F07" w:rsidRDefault="00306F07" w:rsidP="00306F07">
            <w:pPr>
              <w:spacing w:line="480" w:lineRule="auto"/>
              <w:jc w:val="right"/>
            </w:pPr>
            <w:r>
              <w:t>0,</w:t>
            </w:r>
            <w:r w:rsidR="002B142A">
              <w:t>59</w:t>
            </w:r>
          </w:p>
        </w:tc>
        <w:tc>
          <w:tcPr>
            <w:tcW w:w="2126" w:type="dxa"/>
          </w:tcPr>
          <w:p w14:paraId="60DA8AFB" w14:textId="03CC72CF" w:rsidR="00306F07" w:rsidRDefault="00306F07" w:rsidP="00306F07">
            <w:pPr>
              <w:spacing w:line="480" w:lineRule="auto"/>
              <w:jc w:val="right"/>
            </w:pPr>
            <w:r>
              <w:t>0,</w:t>
            </w:r>
            <w:r w:rsidR="002B142A">
              <w:t>65</w:t>
            </w:r>
          </w:p>
        </w:tc>
      </w:tr>
      <w:tr w:rsidR="00306F07" w14:paraId="0916127D" w14:textId="77777777" w:rsidTr="00306F07">
        <w:tc>
          <w:tcPr>
            <w:tcW w:w="2410" w:type="dxa"/>
          </w:tcPr>
          <w:p w14:paraId="5687AA31" w14:textId="5782C753" w:rsidR="00306F07" w:rsidRDefault="00306F07" w:rsidP="00306F07">
            <w:pPr>
              <w:spacing w:line="480" w:lineRule="auto"/>
            </w:pPr>
            <w:r>
              <w:t>Tema</w:t>
            </w:r>
          </w:p>
        </w:tc>
        <w:tc>
          <w:tcPr>
            <w:tcW w:w="1985" w:type="dxa"/>
          </w:tcPr>
          <w:p w14:paraId="2D98FB49" w14:textId="654A4CE8" w:rsidR="00306F07" w:rsidRDefault="00306F07" w:rsidP="00306F07">
            <w:pPr>
              <w:spacing w:line="480" w:lineRule="auto"/>
              <w:jc w:val="right"/>
            </w:pPr>
            <w:r>
              <w:t>0,</w:t>
            </w:r>
            <w:r w:rsidR="002B142A">
              <w:t>71</w:t>
            </w:r>
          </w:p>
        </w:tc>
        <w:tc>
          <w:tcPr>
            <w:tcW w:w="1983" w:type="dxa"/>
          </w:tcPr>
          <w:p w14:paraId="60ECDF0F" w14:textId="3F1C9D2A" w:rsidR="00306F07" w:rsidRDefault="00306F07" w:rsidP="00306F07">
            <w:pPr>
              <w:spacing w:line="480" w:lineRule="auto"/>
              <w:jc w:val="right"/>
            </w:pPr>
            <w:r>
              <w:t>0,</w:t>
            </w:r>
            <w:r w:rsidR="002B142A">
              <w:t>81</w:t>
            </w:r>
          </w:p>
        </w:tc>
        <w:tc>
          <w:tcPr>
            <w:tcW w:w="2126" w:type="dxa"/>
          </w:tcPr>
          <w:p w14:paraId="7A361D7C" w14:textId="7D799A57" w:rsidR="00306F07" w:rsidRDefault="00306F07" w:rsidP="00306F07">
            <w:pPr>
              <w:spacing w:line="480" w:lineRule="auto"/>
              <w:jc w:val="right"/>
            </w:pPr>
            <w:r>
              <w:t>0,7</w:t>
            </w:r>
            <w:r w:rsidR="002B142A">
              <w:t>6</w:t>
            </w:r>
          </w:p>
        </w:tc>
      </w:tr>
      <w:tr w:rsidR="00306F07" w14:paraId="7B1A7C8C" w14:textId="77777777" w:rsidTr="00306F07">
        <w:tc>
          <w:tcPr>
            <w:tcW w:w="2410" w:type="dxa"/>
          </w:tcPr>
          <w:p w14:paraId="2ED00361" w14:textId="27158312" w:rsidR="00306F07" w:rsidRDefault="00306F07" w:rsidP="00306F07">
            <w:pPr>
              <w:spacing w:line="480" w:lineRule="auto"/>
            </w:pPr>
            <w:r>
              <w:t>Llamado a la acción</w:t>
            </w:r>
          </w:p>
        </w:tc>
        <w:tc>
          <w:tcPr>
            <w:tcW w:w="1985" w:type="dxa"/>
          </w:tcPr>
          <w:p w14:paraId="7D1E5C07" w14:textId="63F3A453" w:rsidR="00306F07" w:rsidRDefault="00306F07" w:rsidP="00306F07">
            <w:pPr>
              <w:spacing w:line="480" w:lineRule="auto"/>
              <w:jc w:val="right"/>
            </w:pPr>
            <w:r>
              <w:t>0,</w:t>
            </w:r>
            <w:r w:rsidR="002B142A">
              <w:t>55</w:t>
            </w:r>
          </w:p>
        </w:tc>
        <w:tc>
          <w:tcPr>
            <w:tcW w:w="1983" w:type="dxa"/>
          </w:tcPr>
          <w:p w14:paraId="10BD76CD" w14:textId="69302552" w:rsidR="00306F07" w:rsidRDefault="00306F07" w:rsidP="00306F07">
            <w:pPr>
              <w:spacing w:line="480" w:lineRule="auto"/>
              <w:jc w:val="right"/>
            </w:pPr>
            <w:r>
              <w:t>0,</w:t>
            </w:r>
            <w:r w:rsidR="002B142A">
              <w:t>90</w:t>
            </w:r>
          </w:p>
        </w:tc>
        <w:tc>
          <w:tcPr>
            <w:tcW w:w="2126" w:type="dxa"/>
          </w:tcPr>
          <w:p w14:paraId="4F834C7F" w14:textId="21DD5F06" w:rsidR="00306F07" w:rsidRDefault="00306F07" w:rsidP="00306F07">
            <w:pPr>
              <w:spacing w:line="480" w:lineRule="auto"/>
              <w:jc w:val="right"/>
            </w:pPr>
            <w:r>
              <w:t>0,</w:t>
            </w:r>
            <w:r w:rsidR="002B142A">
              <w:t>68</w:t>
            </w:r>
          </w:p>
        </w:tc>
      </w:tr>
      <w:tr w:rsidR="00306F07" w14:paraId="0707866F" w14:textId="77777777" w:rsidTr="002B142A">
        <w:trPr>
          <w:trHeight w:val="504"/>
        </w:trPr>
        <w:tc>
          <w:tcPr>
            <w:tcW w:w="2410" w:type="dxa"/>
            <w:tcBorders>
              <w:bottom w:val="single" w:sz="4" w:space="0" w:color="auto"/>
            </w:tcBorders>
          </w:tcPr>
          <w:p w14:paraId="422913F3" w14:textId="2071DD91" w:rsidR="00306F07" w:rsidRDefault="00306F07" w:rsidP="00306F07">
            <w:pPr>
              <w:spacing w:line="480" w:lineRule="auto"/>
            </w:pPr>
            <w:r>
              <w:t>Ceremonial</w:t>
            </w:r>
          </w:p>
        </w:tc>
        <w:tc>
          <w:tcPr>
            <w:tcW w:w="1985" w:type="dxa"/>
            <w:tcBorders>
              <w:bottom w:val="single" w:sz="4" w:space="0" w:color="auto"/>
            </w:tcBorders>
          </w:tcPr>
          <w:p w14:paraId="3CEF2C51" w14:textId="785392A4" w:rsidR="00306F07" w:rsidRDefault="00306F07" w:rsidP="00306F07">
            <w:pPr>
              <w:spacing w:line="480" w:lineRule="auto"/>
              <w:jc w:val="right"/>
            </w:pPr>
            <w:r>
              <w:t>0,</w:t>
            </w:r>
            <w:r w:rsidR="002B142A">
              <w:t>82</w:t>
            </w:r>
          </w:p>
        </w:tc>
        <w:tc>
          <w:tcPr>
            <w:tcW w:w="1983" w:type="dxa"/>
            <w:tcBorders>
              <w:bottom w:val="single" w:sz="4" w:space="0" w:color="auto"/>
            </w:tcBorders>
          </w:tcPr>
          <w:p w14:paraId="3E83ED80" w14:textId="3A921895" w:rsidR="00306F07" w:rsidRDefault="00306F07" w:rsidP="00306F07">
            <w:pPr>
              <w:spacing w:line="480" w:lineRule="auto"/>
              <w:jc w:val="right"/>
            </w:pPr>
            <w:r>
              <w:t>0,</w:t>
            </w:r>
            <w:r w:rsidR="002B142A">
              <w:t>70</w:t>
            </w:r>
          </w:p>
        </w:tc>
        <w:tc>
          <w:tcPr>
            <w:tcW w:w="2126" w:type="dxa"/>
            <w:tcBorders>
              <w:bottom w:val="single" w:sz="4" w:space="0" w:color="auto"/>
            </w:tcBorders>
          </w:tcPr>
          <w:p w14:paraId="663B2BAD" w14:textId="5F2E979E" w:rsidR="00306F07" w:rsidRDefault="00306F07" w:rsidP="00306F07">
            <w:pPr>
              <w:spacing w:line="480" w:lineRule="auto"/>
              <w:jc w:val="right"/>
            </w:pPr>
            <w:r>
              <w:t>0,7</w:t>
            </w:r>
            <w:r w:rsidR="002B142A">
              <w:t>5</w:t>
            </w:r>
          </w:p>
        </w:tc>
      </w:tr>
      <w:tr w:rsidR="00306F07" w14:paraId="32128F0F" w14:textId="77777777" w:rsidTr="00306F07">
        <w:tc>
          <w:tcPr>
            <w:tcW w:w="2410" w:type="dxa"/>
            <w:tcBorders>
              <w:top w:val="single" w:sz="4" w:space="0" w:color="auto"/>
            </w:tcBorders>
            <w:vAlign w:val="center"/>
          </w:tcPr>
          <w:p w14:paraId="46BD0A18" w14:textId="16CF9C89" w:rsidR="00306F07" w:rsidRDefault="00306F07" w:rsidP="00306F07">
            <w:pPr>
              <w:spacing w:line="480" w:lineRule="auto"/>
            </w:pPr>
            <w:r>
              <w:t>Macro</w:t>
            </w:r>
          </w:p>
        </w:tc>
        <w:tc>
          <w:tcPr>
            <w:tcW w:w="1985" w:type="dxa"/>
            <w:tcBorders>
              <w:top w:val="single" w:sz="4" w:space="0" w:color="auto"/>
            </w:tcBorders>
          </w:tcPr>
          <w:p w14:paraId="5D391648" w14:textId="77777777" w:rsidR="00306F07" w:rsidRDefault="00306F07" w:rsidP="00306F07">
            <w:pPr>
              <w:spacing w:line="480" w:lineRule="auto"/>
              <w:jc w:val="right"/>
            </w:pPr>
          </w:p>
        </w:tc>
        <w:tc>
          <w:tcPr>
            <w:tcW w:w="1983" w:type="dxa"/>
            <w:tcBorders>
              <w:top w:val="single" w:sz="4" w:space="0" w:color="auto"/>
            </w:tcBorders>
          </w:tcPr>
          <w:p w14:paraId="7218A0A5" w14:textId="77777777" w:rsidR="00306F07" w:rsidRDefault="00306F07" w:rsidP="00306F07">
            <w:pPr>
              <w:spacing w:line="480" w:lineRule="auto"/>
              <w:jc w:val="right"/>
            </w:pPr>
          </w:p>
        </w:tc>
        <w:tc>
          <w:tcPr>
            <w:tcW w:w="2126" w:type="dxa"/>
            <w:tcBorders>
              <w:top w:val="single" w:sz="4" w:space="0" w:color="auto"/>
            </w:tcBorders>
          </w:tcPr>
          <w:p w14:paraId="35D7C7A3" w14:textId="095A071D" w:rsidR="00306F07" w:rsidRDefault="00306F07" w:rsidP="00306F07">
            <w:pPr>
              <w:spacing w:line="480" w:lineRule="auto"/>
              <w:jc w:val="right"/>
            </w:pPr>
            <w:r>
              <w:t>0,</w:t>
            </w:r>
            <w:r w:rsidR="002B142A">
              <w:t>70</w:t>
            </w:r>
          </w:p>
        </w:tc>
      </w:tr>
      <w:tr w:rsidR="00306F07" w14:paraId="5F58FFB5" w14:textId="77777777" w:rsidTr="00306F07">
        <w:tc>
          <w:tcPr>
            <w:tcW w:w="2410" w:type="dxa"/>
            <w:vAlign w:val="center"/>
          </w:tcPr>
          <w:p w14:paraId="0D06F9EF" w14:textId="7CD557C4" w:rsidR="00306F07" w:rsidRDefault="00306F07" w:rsidP="00306F07">
            <w:pPr>
              <w:spacing w:line="480" w:lineRule="auto"/>
            </w:pPr>
            <w:r>
              <w:t>Micro</w:t>
            </w:r>
          </w:p>
        </w:tc>
        <w:tc>
          <w:tcPr>
            <w:tcW w:w="1985" w:type="dxa"/>
          </w:tcPr>
          <w:p w14:paraId="5FAF043D" w14:textId="77777777" w:rsidR="00306F07" w:rsidRDefault="00306F07" w:rsidP="00306F07">
            <w:pPr>
              <w:spacing w:line="480" w:lineRule="auto"/>
              <w:jc w:val="right"/>
            </w:pPr>
          </w:p>
        </w:tc>
        <w:tc>
          <w:tcPr>
            <w:tcW w:w="1983" w:type="dxa"/>
          </w:tcPr>
          <w:p w14:paraId="58427DC3" w14:textId="77777777" w:rsidR="00306F07" w:rsidRDefault="00306F07" w:rsidP="00306F07">
            <w:pPr>
              <w:spacing w:line="480" w:lineRule="auto"/>
              <w:jc w:val="right"/>
            </w:pPr>
          </w:p>
        </w:tc>
        <w:tc>
          <w:tcPr>
            <w:tcW w:w="2126" w:type="dxa"/>
          </w:tcPr>
          <w:p w14:paraId="09DF875F" w14:textId="7DB098FA" w:rsidR="00306F07" w:rsidRDefault="00306F07" w:rsidP="00306F07">
            <w:pPr>
              <w:spacing w:line="480" w:lineRule="auto"/>
              <w:jc w:val="right"/>
            </w:pPr>
            <w:r>
              <w:t>0,7</w:t>
            </w:r>
            <w:r w:rsidR="002B142A">
              <w:t>5</w:t>
            </w:r>
          </w:p>
        </w:tc>
      </w:tr>
    </w:tbl>
    <w:p w14:paraId="3E664F6F" w14:textId="0E622905" w:rsidR="00306F07" w:rsidRDefault="00C746DA" w:rsidP="00C942DB">
      <w:pPr>
        <w:spacing w:after="0" w:line="480" w:lineRule="auto"/>
      </w:pPr>
      <w:r>
        <w:t>Fuente: Elaboración propia</w:t>
      </w:r>
    </w:p>
    <w:p w14:paraId="5BC33CC4" w14:textId="77777777" w:rsidR="001F65E8" w:rsidRPr="0080590C" w:rsidRDefault="001F65E8" w:rsidP="00C942DB">
      <w:pPr>
        <w:spacing w:after="0" w:line="480" w:lineRule="auto"/>
      </w:pPr>
    </w:p>
    <w:p w14:paraId="7C8BF0F2" w14:textId="23B7CD1A" w:rsidR="00BA5408" w:rsidRDefault="006C6245" w:rsidP="003B59BE">
      <w:pPr>
        <w:pStyle w:val="Ttulo2"/>
        <w:spacing w:before="0" w:after="0" w:line="480" w:lineRule="auto"/>
        <w:rPr>
          <w:rFonts w:cs="Times New Roman"/>
          <w:szCs w:val="24"/>
        </w:rPr>
      </w:pPr>
      <w:r w:rsidRPr="0080590C">
        <w:rPr>
          <w:rFonts w:cs="Times New Roman"/>
          <w:szCs w:val="24"/>
        </w:rPr>
        <w:t>Resultados</w:t>
      </w:r>
    </w:p>
    <w:p w14:paraId="5D4436A2" w14:textId="77777777" w:rsidR="003B59BE" w:rsidRPr="003B59BE" w:rsidRDefault="003B59BE" w:rsidP="003B59BE">
      <w:pPr>
        <w:spacing w:after="0" w:line="480" w:lineRule="auto"/>
      </w:pPr>
    </w:p>
    <w:p w14:paraId="1A22142C" w14:textId="6BFF1EAA" w:rsidR="00F64740" w:rsidRDefault="00702370" w:rsidP="003B59BE">
      <w:pPr>
        <w:spacing w:after="0" w:line="480" w:lineRule="auto"/>
        <w:ind w:firstLine="708"/>
      </w:pPr>
      <w:r>
        <w:t>El modelo clasific</w:t>
      </w:r>
      <w:r w:rsidR="00F64740">
        <w:t xml:space="preserve">ó 12.096 anuncios, la </w:t>
      </w:r>
      <w:r w:rsidR="008A6A36">
        <w:t>T</w:t>
      </w:r>
      <w:r w:rsidR="00F64740">
        <w:t xml:space="preserve">abla </w:t>
      </w:r>
      <w:r w:rsidR="00F13461">
        <w:t>2</w:t>
      </w:r>
      <w:r w:rsidR="008A6A36">
        <w:t xml:space="preserve"> </w:t>
      </w:r>
      <w:r w:rsidR="00F64740">
        <w:t xml:space="preserve">muestra </w:t>
      </w:r>
      <w:r w:rsidR="008A6A36">
        <w:t>la cantidad de anuncios por categoría</w:t>
      </w:r>
      <w:r w:rsidR="001F65E8">
        <w:rPr>
          <w:rStyle w:val="Refdenotaalpie"/>
        </w:rPr>
        <w:footnoteReference w:id="10"/>
      </w:r>
      <w:r w:rsidR="008A6A36">
        <w:t xml:space="preserve">. La estrategia de mensajes predilecta por los actores políticos a lo largo de las etapas de la campaña fue la de promover lo propio, siendo estos anuncios </w:t>
      </w:r>
      <w:r w:rsidR="00086124">
        <w:t xml:space="preserve">significativamente </w:t>
      </w:r>
      <w:r w:rsidR="001730A7">
        <w:t>más</w:t>
      </w:r>
      <w:r w:rsidR="008A6A36">
        <w:t xml:space="preserve"> que aquellos que atacan a los adversarios. En cuanto al contenido, los anuncios temáticos son más populares que aquellos que refieren cuestiones </w:t>
      </w:r>
      <w:r w:rsidR="002F14D9">
        <w:t xml:space="preserve">de imagen personal </w:t>
      </w:r>
      <w:r w:rsidR="008A6A36">
        <w:t>de las candidaturas. Los anunciantes utilizan los anuncios para diversos fines de movilización electoral, siendo la categoría Llamado a la acción la segund</w:t>
      </w:r>
      <w:r w:rsidR="00086124">
        <w:t>a</w:t>
      </w:r>
      <w:r w:rsidR="008A6A36">
        <w:t xml:space="preserve"> </w:t>
      </w:r>
      <w:r w:rsidR="002F14D9">
        <w:t>más</w:t>
      </w:r>
      <w:r w:rsidR="008A6A36">
        <w:t xml:space="preserve"> popular</w:t>
      </w:r>
      <w:r w:rsidR="002F14D9">
        <w:t xml:space="preserve"> y los ceremoniales </w:t>
      </w:r>
      <w:r w:rsidR="003A5DBF">
        <w:t>los cuartos</w:t>
      </w:r>
      <w:r w:rsidR="008A6A36">
        <w:t xml:space="preserve">. </w:t>
      </w:r>
    </w:p>
    <w:p w14:paraId="26F919FC" w14:textId="22728FB7" w:rsidR="00890CC4" w:rsidRDefault="00890CC4" w:rsidP="003B59BE">
      <w:pPr>
        <w:spacing w:after="0" w:line="480" w:lineRule="auto"/>
      </w:pPr>
    </w:p>
    <w:p w14:paraId="410EAE35" w14:textId="1D49B306" w:rsidR="00890CC4" w:rsidRPr="00702370" w:rsidRDefault="00890CC4" w:rsidP="00E26EC9">
      <w:pPr>
        <w:spacing w:line="480" w:lineRule="auto"/>
      </w:pPr>
      <w:r>
        <w:t xml:space="preserve">Tabla </w:t>
      </w:r>
      <w:r w:rsidR="002B142A">
        <w:t>2</w:t>
      </w:r>
      <w:r>
        <w:t>. Cantidad de anuncios por categoría.</w:t>
      </w:r>
    </w:p>
    <w:tbl>
      <w:tblPr>
        <w:tblStyle w:val="Tablaconcuadrcula"/>
        <w:tblW w:w="0" w:type="auto"/>
        <w:tblInd w:w="1273" w:type="dxa"/>
        <w:tblLook w:val="04A0" w:firstRow="1" w:lastRow="0" w:firstColumn="1" w:lastColumn="0" w:noHBand="0" w:noVBand="1"/>
      </w:tblPr>
      <w:tblGrid>
        <w:gridCol w:w="3015"/>
        <w:gridCol w:w="2947"/>
      </w:tblGrid>
      <w:tr w:rsidR="008A6A36" w14:paraId="0A7DEC07" w14:textId="55F0D0B7" w:rsidTr="008A6A36">
        <w:trPr>
          <w:cnfStyle w:val="100000000000" w:firstRow="1" w:lastRow="0" w:firstColumn="0" w:lastColumn="0" w:oddVBand="0" w:evenVBand="0" w:oddHBand="0" w:evenHBand="0" w:firstRowFirstColumn="0" w:firstRowLastColumn="0" w:lastRowFirstColumn="0" w:lastRowLastColumn="0"/>
        </w:trPr>
        <w:tc>
          <w:tcPr>
            <w:tcW w:w="3015" w:type="dxa"/>
          </w:tcPr>
          <w:p w14:paraId="60CB7299" w14:textId="4D4E6C34" w:rsidR="008A6A36" w:rsidRDefault="008A6A36" w:rsidP="00E26EC9">
            <w:pPr>
              <w:spacing w:line="480" w:lineRule="auto"/>
              <w:jc w:val="left"/>
            </w:pPr>
            <w:r>
              <w:t>Categoría</w:t>
            </w:r>
          </w:p>
        </w:tc>
        <w:tc>
          <w:tcPr>
            <w:tcW w:w="2947" w:type="dxa"/>
          </w:tcPr>
          <w:p w14:paraId="77F8450D" w14:textId="4B58CFFC" w:rsidR="008A6A36" w:rsidRDefault="008A6A36" w:rsidP="00E26EC9">
            <w:pPr>
              <w:spacing w:line="480" w:lineRule="auto"/>
              <w:jc w:val="left"/>
            </w:pPr>
            <w:r>
              <w:t>Cantidad de anuncios</w:t>
            </w:r>
          </w:p>
        </w:tc>
      </w:tr>
      <w:tr w:rsidR="008A6A36" w14:paraId="39F3868C" w14:textId="67B90E56" w:rsidTr="008A6A36">
        <w:tc>
          <w:tcPr>
            <w:tcW w:w="3015" w:type="dxa"/>
          </w:tcPr>
          <w:p w14:paraId="1BD47607" w14:textId="37BF1939" w:rsidR="008A6A36" w:rsidRDefault="008A6A36" w:rsidP="00E26EC9">
            <w:pPr>
              <w:spacing w:line="480" w:lineRule="auto"/>
            </w:pPr>
            <w:r>
              <w:t>Promoción</w:t>
            </w:r>
          </w:p>
        </w:tc>
        <w:tc>
          <w:tcPr>
            <w:tcW w:w="2947" w:type="dxa"/>
          </w:tcPr>
          <w:p w14:paraId="40C0A7D6" w14:textId="7551F54C" w:rsidR="008A6A36" w:rsidRDefault="00F13461" w:rsidP="00E26EC9">
            <w:pPr>
              <w:spacing w:line="480" w:lineRule="auto"/>
              <w:jc w:val="right"/>
            </w:pPr>
            <w:r>
              <w:t>10.438</w:t>
            </w:r>
          </w:p>
        </w:tc>
      </w:tr>
      <w:tr w:rsidR="008A6A36" w14:paraId="1C97891F" w14:textId="4B696CA4" w:rsidTr="008A6A36">
        <w:tc>
          <w:tcPr>
            <w:tcW w:w="3015" w:type="dxa"/>
          </w:tcPr>
          <w:p w14:paraId="4E7D7F7A" w14:textId="317511DA" w:rsidR="008A6A36" w:rsidRDefault="008A6A36" w:rsidP="00E26EC9">
            <w:pPr>
              <w:spacing w:line="480" w:lineRule="auto"/>
            </w:pPr>
            <w:r>
              <w:t>Ataque</w:t>
            </w:r>
          </w:p>
        </w:tc>
        <w:tc>
          <w:tcPr>
            <w:tcW w:w="2947" w:type="dxa"/>
          </w:tcPr>
          <w:p w14:paraId="3F904443" w14:textId="1A2DD98A" w:rsidR="008A6A36" w:rsidRDefault="00F13461" w:rsidP="00E26EC9">
            <w:pPr>
              <w:spacing w:line="480" w:lineRule="auto"/>
              <w:jc w:val="right"/>
            </w:pPr>
            <w:r>
              <w:t>1.398</w:t>
            </w:r>
          </w:p>
        </w:tc>
      </w:tr>
      <w:tr w:rsidR="008A6A36" w14:paraId="53062BBE" w14:textId="22E410E0" w:rsidTr="008A6A36">
        <w:tc>
          <w:tcPr>
            <w:tcW w:w="3015" w:type="dxa"/>
          </w:tcPr>
          <w:p w14:paraId="7C742860" w14:textId="70C3D53D" w:rsidR="008A6A36" w:rsidRDefault="008A6A36" w:rsidP="00E26EC9">
            <w:pPr>
              <w:spacing w:line="480" w:lineRule="auto"/>
            </w:pPr>
            <w:r>
              <w:t>Imagen</w:t>
            </w:r>
          </w:p>
        </w:tc>
        <w:tc>
          <w:tcPr>
            <w:tcW w:w="2947" w:type="dxa"/>
          </w:tcPr>
          <w:p w14:paraId="0F3DDAF9" w14:textId="6F3CFBFF" w:rsidR="008A6A36" w:rsidRDefault="00F13461" w:rsidP="00E26EC9">
            <w:pPr>
              <w:spacing w:line="480" w:lineRule="auto"/>
              <w:jc w:val="right"/>
            </w:pPr>
            <w:r>
              <w:t>3.226</w:t>
            </w:r>
          </w:p>
        </w:tc>
      </w:tr>
      <w:tr w:rsidR="008A6A36" w14:paraId="36E165B1" w14:textId="10282786" w:rsidTr="008A6A36">
        <w:tc>
          <w:tcPr>
            <w:tcW w:w="3015" w:type="dxa"/>
          </w:tcPr>
          <w:p w14:paraId="2EC8F516" w14:textId="40489733" w:rsidR="008A6A36" w:rsidRDefault="008A6A36" w:rsidP="00E26EC9">
            <w:pPr>
              <w:spacing w:line="480" w:lineRule="auto"/>
            </w:pPr>
            <w:r>
              <w:t>Tema</w:t>
            </w:r>
          </w:p>
        </w:tc>
        <w:tc>
          <w:tcPr>
            <w:tcW w:w="2947" w:type="dxa"/>
          </w:tcPr>
          <w:p w14:paraId="6E6F1765" w14:textId="2B433649" w:rsidR="008A6A36" w:rsidRDefault="00F13461" w:rsidP="00E26EC9">
            <w:pPr>
              <w:spacing w:line="480" w:lineRule="auto"/>
              <w:jc w:val="right"/>
            </w:pPr>
            <w:r>
              <w:t>5.782</w:t>
            </w:r>
          </w:p>
        </w:tc>
      </w:tr>
      <w:tr w:rsidR="008A6A36" w14:paraId="69656794" w14:textId="409B5B9A" w:rsidTr="008A6A36">
        <w:tc>
          <w:tcPr>
            <w:tcW w:w="3015" w:type="dxa"/>
          </w:tcPr>
          <w:p w14:paraId="000715A4" w14:textId="2F199FA3" w:rsidR="008A6A36" w:rsidRDefault="008A6A36" w:rsidP="00E26EC9">
            <w:pPr>
              <w:spacing w:line="480" w:lineRule="auto"/>
            </w:pPr>
            <w:r>
              <w:t>Llamado a la acción</w:t>
            </w:r>
          </w:p>
        </w:tc>
        <w:tc>
          <w:tcPr>
            <w:tcW w:w="2947" w:type="dxa"/>
          </w:tcPr>
          <w:p w14:paraId="2AD5DBFE" w14:textId="0B2DD27B" w:rsidR="008A6A36" w:rsidRDefault="00F13461" w:rsidP="00E26EC9">
            <w:pPr>
              <w:spacing w:line="480" w:lineRule="auto"/>
              <w:jc w:val="right"/>
            </w:pPr>
            <w:r>
              <w:t>7.536</w:t>
            </w:r>
          </w:p>
        </w:tc>
      </w:tr>
      <w:tr w:rsidR="008A6A36" w14:paraId="40D91AFF" w14:textId="1B7E947D" w:rsidTr="008A6A36">
        <w:tc>
          <w:tcPr>
            <w:tcW w:w="3015" w:type="dxa"/>
          </w:tcPr>
          <w:p w14:paraId="2D931F3E" w14:textId="2D3DD807" w:rsidR="008A6A36" w:rsidRDefault="008A6A36" w:rsidP="00E26EC9">
            <w:pPr>
              <w:spacing w:line="480" w:lineRule="auto"/>
            </w:pPr>
            <w:r>
              <w:t>Ceremonial</w:t>
            </w:r>
          </w:p>
        </w:tc>
        <w:tc>
          <w:tcPr>
            <w:tcW w:w="2947" w:type="dxa"/>
          </w:tcPr>
          <w:p w14:paraId="002259BB" w14:textId="2231CF25" w:rsidR="008A6A36" w:rsidRDefault="00F13461" w:rsidP="00E26EC9">
            <w:pPr>
              <w:spacing w:line="480" w:lineRule="auto"/>
              <w:jc w:val="right"/>
            </w:pPr>
            <w:r>
              <w:t>2.131</w:t>
            </w:r>
          </w:p>
        </w:tc>
      </w:tr>
    </w:tbl>
    <w:p w14:paraId="029402E8" w14:textId="24C27AEE" w:rsidR="001730A7" w:rsidRDefault="00890CC4" w:rsidP="00C942DB">
      <w:pPr>
        <w:spacing w:line="480" w:lineRule="auto"/>
      </w:pPr>
      <w:r>
        <w:t>Fuente: Elaboración propia</w:t>
      </w:r>
    </w:p>
    <w:p w14:paraId="4C4C2316" w14:textId="60ADECB8" w:rsidR="001730A7" w:rsidRDefault="001730A7" w:rsidP="003B59BE">
      <w:pPr>
        <w:spacing w:after="0" w:line="480" w:lineRule="auto"/>
        <w:ind w:firstLine="709"/>
      </w:pPr>
      <w:r>
        <w:t xml:space="preserve">Estas categorías no son </w:t>
      </w:r>
      <w:r w:rsidR="001A13F8">
        <w:t xml:space="preserve">excluyentes y pueden tener distintas combinaciones según el objetivo comunicacional. La </w:t>
      </w:r>
      <w:r w:rsidR="002200E3">
        <w:t>Figura</w:t>
      </w:r>
      <w:r w:rsidR="001A13F8">
        <w:t xml:space="preserve"> </w:t>
      </w:r>
      <w:r w:rsidR="000B5C22">
        <w:t>5</w:t>
      </w:r>
      <w:r w:rsidR="001A13F8">
        <w:t xml:space="preserve"> muestra </w:t>
      </w:r>
      <w:r w:rsidR="008F2795">
        <w:t xml:space="preserve">la frecuencia de </w:t>
      </w:r>
      <w:r w:rsidR="001A13F8">
        <w:t xml:space="preserve">anuncios con combinaciones de Promoción y Ataque con Imagen y Tema. </w:t>
      </w:r>
      <w:r w:rsidR="008F2795">
        <w:t>Las</w:t>
      </w:r>
      <w:r w:rsidR="00890CC4">
        <w:t xml:space="preserve"> </w:t>
      </w:r>
      <w:r w:rsidR="008F2795">
        <w:t xml:space="preserve">predicciones del modelo para </w:t>
      </w:r>
      <w:r w:rsidR="00890CC4">
        <w:t>combinaciones de Ataque e Imagen</w:t>
      </w:r>
      <w:r w:rsidR="008F2795">
        <w:t xml:space="preserve"> son casi nulas</w:t>
      </w:r>
      <w:r w:rsidR="00890CC4">
        <w:t>,</w:t>
      </w:r>
      <w:r w:rsidR="008F2795">
        <w:t xml:space="preserve"> por lo que la mayoría de los</w:t>
      </w:r>
      <w:r w:rsidR="00890CC4">
        <w:t xml:space="preserve"> esfuerzos por descreditar los rivales pasan por cuestiones programáticas y temáticas. En cuanto a los anuncios que promueven lo propio, l</w:t>
      </w:r>
      <w:r w:rsidR="002200E3">
        <w:t xml:space="preserve">os anunciantes los utilizan </w:t>
      </w:r>
      <w:r w:rsidR="003A5DBF">
        <w:t>más para sus propuestas programáticas que para promover cualidades personales.</w:t>
      </w:r>
    </w:p>
    <w:p w14:paraId="0B5F33DA" w14:textId="77777777" w:rsidR="003B59BE" w:rsidRDefault="003B59BE" w:rsidP="00C746DA">
      <w:pPr>
        <w:spacing w:line="480" w:lineRule="auto"/>
        <w:ind w:firstLine="708"/>
      </w:pPr>
    </w:p>
    <w:p w14:paraId="534CB66D" w14:textId="7D4ED515" w:rsidR="001A13F8" w:rsidRDefault="002200E3" w:rsidP="009B5BD2">
      <w:pPr>
        <w:spacing w:line="480" w:lineRule="auto"/>
      </w:pPr>
      <w:r>
        <w:lastRenderedPageBreak/>
        <w:t xml:space="preserve">Figura </w:t>
      </w:r>
      <w:r w:rsidR="000B5C22">
        <w:t>5</w:t>
      </w:r>
      <w:r>
        <w:t>. Porcentaje de anuncios con combinaciones de tipos de contenido</w:t>
      </w:r>
      <w:r w:rsidR="00640961">
        <w:rPr>
          <w:noProof/>
        </w:rPr>
        <w:drawing>
          <wp:inline distT="0" distB="0" distL="0" distR="0" wp14:anchorId="14F57EFB" wp14:editId="1BD7CFD6">
            <wp:extent cx="4757575" cy="3663387"/>
            <wp:effectExtent l="0" t="0" r="5080" b="0"/>
            <wp:docPr id="7997659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74716" cy="3676585"/>
                    </a:xfrm>
                    <a:prstGeom prst="rect">
                      <a:avLst/>
                    </a:prstGeom>
                    <a:noFill/>
                  </pic:spPr>
                </pic:pic>
              </a:graphicData>
            </a:graphic>
          </wp:inline>
        </w:drawing>
      </w:r>
    </w:p>
    <w:p w14:paraId="22A58FAE" w14:textId="13B404A9" w:rsidR="002200E3" w:rsidRDefault="002200E3" w:rsidP="003B59BE">
      <w:pPr>
        <w:spacing w:after="0" w:line="480" w:lineRule="auto"/>
      </w:pPr>
      <w:r>
        <w:t>Fuente: Elaboración propia</w:t>
      </w:r>
    </w:p>
    <w:p w14:paraId="29050DCE" w14:textId="77777777" w:rsidR="003B59BE" w:rsidRDefault="003B59BE" w:rsidP="003B59BE">
      <w:pPr>
        <w:spacing w:after="0" w:line="480" w:lineRule="auto"/>
        <w:ind w:firstLine="708"/>
      </w:pPr>
    </w:p>
    <w:p w14:paraId="57F84EBE" w14:textId="2409DA36" w:rsidR="001730A7" w:rsidRDefault="002200E3" w:rsidP="003B59BE">
      <w:pPr>
        <w:spacing w:after="0" w:line="480" w:lineRule="auto"/>
        <w:ind w:firstLine="708"/>
      </w:pPr>
      <w:r>
        <w:t>L</w:t>
      </w:r>
      <w:r w:rsidR="001730A7">
        <w:t xml:space="preserve">a </w:t>
      </w:r>
      <w:r w:rsidR="00CA5D26">
        <w:t>Figura</w:t>
      </w:r>
      <w:r>
        <w:t xml:space="preserve"> </w:t>
      </w:r>
      <w:r w:rsidR="000B5C22">
        <w:t>6</w:t>
      </w:r>
      <w:r w:rsidR="001730A7">
        <w:t xml:space="preserve"> muestra la evolución de </w:t>
      </w:r>
      <w:r>
        <w:t>los tipos de anuncios</w:t>
      </w:r>
      <w:r w:rsidR="003A5DBF">
        <w:t>, donde se observa un aumento en la cantidad de todos los tipos de anuncios antes de cada elección y una caída posterior. La proporción entre los tipos se mantiene estable, siguiendo tendencias similares.</w:t>
      </w:r>
    </w:p>
    <w:p w14:paraId="7E915546" w14:textId="77777777" w:rsidR="00C942DB" w:rsidRDefault="00C942DB" w:rsidP="003B59BE">
      <w:pPr>
        <w:spacing w:after="0" w:line="480" w:lineRule="auto"/>
        <w:ind w:firstLine="708"/>
      </w:pPr>
    </w:p>
    <w:p w14:paraId="58BC08C3" w14:textId="303C2C5C" w:rsidR="00CA5D26" w:rsidRDefault="00CA5D26" w:rsidP="003B59BE">
      <w:pPr>
        <w:spacing w:after="0" w:line="480" w:lineRule="auto"/>
      </w:pPr>
      <w:r>
        <w:lastRenderedPageBreak/>
        <w:t xml:space="preserve">Figura </w:t>
      </w:r>
      <w:r w:rsidR="000B5C22">
        <w:t>6</w:t>
      </w:r>
      <w:r>
        <w:t>. Cantidad de anuncios activos por día</w:t>
      </w:r>
      <w:r w:rsidR="00640961">
        <w:rPr>
          <w:noProof/>
        </w:rPr>
        <w:drawing>
          <wp:inline distT="0" distB="0" distL="0" distR="0" wp14:anchorId="7D471C1E" wp14:editId="5657B29A">
            <wp:extent cx="5653929" cy="3499911"/>
            <wp:effectExtent l="0" t="0" r="4445" b="5715"/>
            <wp:docPr id="875191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5912"/>
                    <a:stretch>
                      <a:fillRect/>
                    </a:stretch>
                  </pic:blipFill>
                  <pic:spPr bwMode="auto">
                    <a:xfrm>
                      <a:off x="0" y="0"/>
                      <a:ext cx="5669103" cy="3509304"/>
                    </a:xfrm>
                    <a:prstGeom prst="rect">
                      <a:avLst/>
                    </a:prstGeom>
                    <a:noFill/>
                    <a:ln>
                      <a:noFill/>
                    </a:ln>
                    <a:extLst>
                      <a:ext uri="{53640926-AAD7-44D8-BBD7-CCE9431645EC}">
                        <a14:shadowObscured xmlns:a14="http://schemas.microsoft.com/office/drawing/2010/main"/>
                      </a:ext>
                    </a:extLst>
                  </pic:spPr>
                </pic:pic>
              </a:graphicData>
            </a:graphic>
          </wp:inline>
        </w:drawing>
      </w:r>
      <w:r w:rsidR="00E26EC9">
        <w:t>Fuente: Elaboración propia</w:t>
      </w:r>
    </w:p>
    <w:p w14:paraId="6A74F5E2" w14:textId="77777777" w:rsidR="003B59BE" w:rsidRDefault="003B59BE" w:rsidP="003B59BE">
      <w:pPr>
        <w:spacing w:after="0" w:line="480" w:lineRule="auto"/>
        <w:ind w:firstLine="708"/>
      </w:pPr>
    </w:p>
    <w:p w14:paraId="49242D1F" w14:textId="0B1CC9C3" w:rsidR="00737554" w:rsidRDefault="00737554" w:rsidP="003B59BE">
      <w:pPr>
        <w:spacing w:after="0" w:line="480" w:lineRule="auto"/>
        <w:ind w:firstLine="708"/>
      </w:pPr>
      <w:r>
        <w:t xml:space="preserve">Para cada etapa de la campaña los tipos de anuncio se distribuyeron de manera similar, aunque con algunas diferencias. La Figura </w:t>
      </w:r>
      <w:r w:rsidR="000B5C22">
        <w:t>7</w:t>
      </w:r>
      <w:r>
        <w:t xml:space="preserve"> muestra la </w:t>
      </w:r>
      <w:r w:rsidR="00E07BC2">
        <w:t xml:space="preserve">frecuencia y </w:t>
      </w:r>
      <w:r>
        <w:t xml:space="preserve">distribución proporcional de los anuncios dentro de cada elección. </w:t>
      </w:r>
      <w:r w:rsidR="00BA1946">
        <w:t>L</w:t>
      </w:r>
      <w:r w:rsidR="00BA1946" w:rsidRPr="00BA1946">
        <w:t xml:space="preserve">a distribución </w:t>
      </w:r>
      <w:r w:rsidR="000B5C22">
        <w:t xml:space="preserve">muestra </w:t>
      </w:r>
      <w:r w:rsidR="00BA1946" w:rsidRPr="00BA1946">
        <w:t xml:space="preserve">una estrategia orientada a la promoción, que representa </w:t>
      </w:r>
      <w:r w:rsidR="00BA1946">
        <w:t>alrededor</w:t>
      </w:r>
      <w:r w:rsidR="00BA1946" w:rsidRPr="00BA1946">
        <w:t xml:space="preserve"> </w:t>
      </w:r>
      <w:r w:rsidR="00BA1946">
        <w:t>d</w:t>
      </w:r>
      <w:r w:rsidR="00BA1946" w:rsidRPr="00BA1946">
        <w:t xml:space="preserve">el </w:t>
      </w:r>
      <w:r w:rsidR="008F2795">
        <w:t>35</w:t>
      </w:r>
      <w:r w:rsidR="00BA1946" w:rsidRPr="00BA1946">
        <w:t>% de todos los anuncios</w:t>
      </w:r>
      <w:r w:rsidR="00BA1946">
        <w:t xml:space="preserve"> en las tres etapas</w:t>
      </w:r>
      <w:r w:rsidR="00BA1946" w:rsidRPr="00BA1946">
        <w:t>.</w:t>
      </w:r>
      <w:r w:rsidR="00BA1946">
        <w:t xml:space="preserve"> Los tipos de anuncios con llamado a la acción se encuentran más presente</w:t>
      </w:r>
      <w:r w:rsidR="00FE2C5A">
        <w:t>s</w:t>
      </w:r>
      <w:r w:rsidR="00BA1946">
        <w:t xml:space="preserve"> en la etapa de las elecciones internas y las nacionales (23% y 2</w:t>
      </w:r>
      <w:r w:rsidR="008F2795">
        <w:t>7</w:t>
      </w:r>
      <w:r w:rsidR="00BA1946">
        <w:t>% respectivamente)</w:t>
      </w:r>
      <w:r w:rsidR="00E07BC2">
        <w:t>. E</w:t>
      </w:r>
      <w:r w:rsidR="00BA1946">
        <w:t xml:space="preserve">n la segunda vuelta, </w:t>
      </w:r>
      <w:r w:rsidR="00E07BC2">
        <w:t xml:space="preserve">el llamado a la acción </w:t>
      </w:r>
      <w:r w:rsidR="00BA1946" w:rsidRPr="00BA1946">
        <w:t>pierde el énfasis estratégico</w:t>
      </w:r>
      <w:r w:rsidR="00BA1946">
        <w:t xml:space="preserve"> de las etapas previas</w:t>
      </w:r>
      <w:r w:rsidR="00E07BC2">
        <w:t xml:space="preserve"> representando solo </w:t>
      </w:r>
      <w:r w:rsidR="008F2795">
        <w:t>el</w:t>
      </w:r>
      <w:r w:rsidR="00E07BC2">
        <w:t xml:space="preserve"> 1</w:t>
      </w:r>
      <w:r w:rsidR="008F2795">
        <w:t>6</w:t>
      </w:r>
      <w:r w:rsidR="00E07BC2">
        <w:t>% de los anuncios</w:t>
      </w:r>
      <w:r w:rsidR="00BA1946" w:rsidRPr="00BA1946">
        <w:t>.</w:t>
      </w:r>
      <w:r w:rsidR="00E07BC2">
        <w:t xml:space="preserve"> El contenido de los anuncios se mantiene constante a lo largo de las elecciones. Los anuncios temáticos son más frecuentes que los personales a lo largo de todas las etapas, alcanzando su máximo en la segunda vuelta (2</w:t>
      </w:r>
      <w:r w:rsidR="008F2795">
        <w:t>3</w:t>
      </w:r>
      <w:r w:rsidR="00E07BC2">
        <w:t xml:space="preserve">%). Aquellos anuncios que se centran en la imagen se mantienen como el 7% de los anuncios para cada etapa de la campaña </w:t>
      </w:r>
      <w:r w:rsidR="00E07BC2">
        <w:lastRenderedPageBreak/>
        <w:t xml:space="preserve">electoral. Los tipos de anuncios ceremoniales </w:t>
      </w:r>
      <w:r w:rsidR="000B033E">
        <w:t xml:space="preserve">también se mantienen a través de las etapas, siendo en las elecciones internas la etapa de la campaña donde estuvieron </w:t>
      </w:r>
      <w:r w:rsidR="00CA5D26">
        <w:t>más</w:t>
      </w:r>
      <w:r w:rsidR="000B033E">
        <w:t xml:space="preserve"> presentes.</w:t>
      </w:r>
    </w:p>
    <w:p w14:paraId="4E286F8B" w14:textId="77777777" w:rsidR="00C942DB" w:rsidRDefault="00C942DB" w:rsidP="003B59BE">
      <w:pPr>
        <w:spacing w:after="0" w:line="480" w:lineRule="auto"/>
        <w:ind w:firstLine="708"/>
      </w:pPr>
    </w:p>
    <w:p w14:paraId="4B217BEA" w14:textId="3261D443" w:rsidR="000B033E" w:rsidRDefault="000B033E" w:rsidP="003B59BE">
      <w:pPr>
        <w:spacing w:after="0" w:line="480" w:lineRule="auto"/>
      </w:pPr>
      <w:r>
        <w:t xml:space="preserve">Figura </w:t>
      </w:r>
      <w:r w:rsidR="000B5C22">
        <w:t>7</w:t>
      </w:r>
      <w:r>
        <w:t>. Frecuencia y proporción de tipos de anuncio por etapa de la campaña electoral</w:t>
      </w:r>
    </w:p>
    <w:p w14:paraId="43C10B7C" w14:textId="528859CA" w:rsidR="00FA00AB" w:rsidRDefault="008F2795" w:rsidP="003B59BE">
      <w:pPr>
        <w:spacing w:after="0" w:line="480" w:lineRule="auto"/>
        <w:rPr>
          <w:noProof/>
        </w:rPr>
      </w:pPr>
      <w:r>
        <w:rPr>
          <w:noProof/>
        </w:rPr>
        <w:drawing>
          <wp:inline distT="0" distB="0" distL="0" distR="0" wp14:anchorId="30C78FE8" wp14:editId="211C3C78">
            <wp:extent cx="5335270" cy="3702201"/>
            <wp:effectExtent l="0" t="0" r="0" b="0"/>
            <wp:docPr id="172000564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0">
                      <a:extLst>
                        <a:ext uri="{28A0092B-C50C-407E-A947-70E740481C1C}">
                          <a14:useLocalDpi xmlns:a14="http://schemas.microsoft.com/office/drawing/2010/main" val="0"/>
                        </a:ext>
                      </a:extLst>
                    </a:blip>
                    <a:srcRect t="6699"/>
                    <a:stretch>
                      <a:fillRect/>
                    </a:stretch>
                  </pic:blipFill>
                  <pic:spPr bwMode="auto">
                    <a:xfrm>
                      <a:off x="0" y="0"/>
                      <a:ext cx="5343592" cy="3707976"/>
                    </a:xfrm>
                    <a:prstGeom prst="rect">
                      <a:avLst/>
                    </a:prstGeom>
                    <a:noFill/>
                    <a:ln>
                      <a:noFill/>
                    </a:ln>
                    <a:extLst>
                      <a:ext uri="{53640926-AAD7-44D8-BBD7-CCE9431645EC}">
                        <a14:shadowObscured xmlns:a14="http://schemas.microsoft.com/office/drawing/2010/main"/>
                      </a:ext>
                    </a:extLst>
                  </pic:spPr>
                </pic:pic>
              </a:graphicData>
            </a:graphic>
          </wp:inline>
        </w:drawing>
      </w:r>
      <w:r w:rsidR="000B033E">
        <w:rPr>
          <w:noProof/>
        </w:rPr>
        <w:t>Fuente: Eleboración propia</w:t>
      </w:r>
    </w:p>
    <w:p w14:paraId="58C081F1" w14:textId="77777777" w:rsidR="00C942DB" w:rsidRDefault="00C942DB" w:rsidP="003B59BE">
      <w:pPr>
        <w:spacing w:after="0" w:line="480" w:lineRule="auto"/>
      </w:pPr>
    </w:p>
    <w:p w14:paraId="0E5BFB18" w14:textId="4B2B8E6B" w:rsidR="00FA00AB" w:rsidRDefault="00737554" w:rsidP="003B59BE">
      <w:pPr>
        <w:spacing w:after="0" w:line="480" w:lineRule="auto"/>
        <w:ind w:firstLine="708"/>
      </w:pPr>
      <w:r>
        <w:t xml:space="preserve">Cuando observamos esta distribución según </w:t>
      </w:r>
      <w:r w:rsidR="00FE2C5A">
        <w:t xml:space="preserve">partido </w:t>
      </w:r>
      <w:r w:rsidR="000B033E">
        <w:t xml:space="preserve">encontramos </w:t>
      </w:r>
      <w:r w:rsidR="00FA00AB" w:rsidRPr="00FA00AB">
        <w:t>similitudes</w:t>
      </w:r>
      <w:r w:rsidR="000B033E" w:rsidRPr="00FA00AB">
        <w:t xml:space="preserve"> </w:t>
      </w:r>
      <w:r w:rsidR="00FA00AB" w:rsidRPr="00FA00AB">
        <w:t>en</w:t>
      </w:r>
      <w:r w:rsidR="000B033E" w:rsidRPr="00FA00AB">
        <w:t xml:space="preserve"> sus estrategias. La Figura </w:t>
      </w:r>
      <w:r w:rsidR="000B5C22">
        <w:t>8</w:t>
      </w:r>
      <w:r w:rsidR="000B033E" w:rsidRPr="00FA00AB">
        <w:t xml:space="preserve"> muestra la distribución proporcional de tipos</w:t>
      </w:r>
      <w:r w:rsidR="000B033E">
        <w:t xml:space="preserve"> de anuncio por partido político.  </w:t>
      </w:r>
      <w:r w:rsidR="00FA00AB">
        <w:t>L</w:t>
      </w:r>
      <w:r w:rsidR="00FA00AB" w:rsidRPr="00FA00AB">
        <w:t>os anuncios de promoción constituyen l</w:t>
      </w:r>
      <w:r w:rsidR="00FA00AB">
        <w:t xml:space="preserve">a </w:t>
      </w:r>
      <w:r w:rsidR="00FA00AB" w:rsidRPr="00FA00AB">
        <w:t>categoría dominante</w:t>
      </w:r>
      <w:r w:rsidR="00152F0C">
        <w:t xml:space="preserve">, </w:t>
      </w:r>
      <w:r w:rsidR="00152F0C" w:rsidRPr="00152F0C">
        <w:t xml:space="preserve">lo que sugiere que, independientemente de la estrategia particular, todos los partidos priorizaron contenidos de carácter </w:t>
      </w:r>
      <w:r w:rsidR="00152F0C">
        <w:t xml:space="preserve">positivo </w:t>
      </w:r>
      <w:r w:rsidR="00152F0C" w:rsidRPr="00152F0C">
        <w:t>y orientados a consolidar apoyo</w:t>
      </w:r>
      <w:r w:rsidR="00152F0C">
        <w:t xml:space="preserve">. En segundo </w:t>
      </w:r>
      <w:r w:rsidR="00CA5D26">
        <w:t>lugar,</w:t>
      </w:r>
      <w:r w:rsidR="00152F0C">
        <w:t xml:space="preserve"> se destacan los anuncios de </w:t>
      </w:r>
      <w:r w:rsidR="00FE2C5A">
        <w:t>l</w:t>
      </w:r>
      <w:r w:rsidR="00152F0C">
        <w:t>lamado a la acción, los partidos más pequeños</w:t>
      </w:r>
      <w:r w:rsidR="00CA5D26">
        <w:t xml:space="preserve"> </w:t>
      </w:r>
      <w:r w:rsidR="00152F0C">
        <w:t>son los que más uso hacen de este tipo de anuncios</w:t>
      </w:r>
      <w:r w:rsidR="00152F0C" w:rsidRPr="00152F0C">
        <w:t>.</w:t>
      </w:r>
      <w:r w:rsidR="00152F0C">
        <w:t xml:space="preserve"> </w:t>
      </w:r>
      <w:r w:rsidR="00152F0C" w:rsidRPr="00152F0C">
        <w:t xml:space="preserve">Los anuncios </w:t>
      </w:r>
      <w:r w:rsidR="008F2795">
        <w:t xml:space="preserve">temáticos y programáticos </w:t>
      </w:r>
      <w:r w:rsidR="00152F0C">
        <w:lastRenderedPageBreak/>
        <w:t>también son más utilizados por los otros partidos</w:t>
      </w:r>
      <w:r w:rsidR="00CA5D26">
        <w:t xml:space="preserve"> y menos utilizados por el Partido Nacional. Tanto el Partido Nacional como el Partido Colorado son los que más utilizan la publicidad de tipo Imagen. </w:t>
      </w:r>
      <w:r w:rsidR="00CA5D26" w:rsidRPr="00CA5D26">
        <w:t>Los anuncios de ataque representan valores muy bajos en todos los</w:t>
      </w:r>
      <w:r w:rsidR="00FE2C5A">
        <w:t xml:space="preserve"> partidos</w:t>
      </w:r>
      <w:r w:rsidR="00CA5D26">
        <w:t xml:space="preserve">, </w:t>
      </w:r>
      <w:r w:rsidR="00CA5D26" w:rsidRPr="00CA5D26">
        <w:t xml:space="preserve">lo que </w:t>
      </w:r>
      <w:r w:rsidR="00CA5D26">
        <w:t xml:space="preserve">sugiere </w:t>
      </w:r>
      <w:r w:rsidR="00CA5D26" w:rsidRPr="00CA5D26">
        <w:t>que la campaña digital se caracterizó por una baja agresividad discursiva</w:t>
      </w:r>
      <w:r w:rsidR="00CA5D26">
        <w:t>.</w:t>
      </w:r>
    </w:p>
    <w:p w14:paraId="72ACB676" w14:textId="77777777" w:rsidR="00C942DB" w:rsidRDefault="00C942DB" w:rsidP="003B59BE">
      <w:pPr>
        <w:spacing w:after="0" w:line="480" w:lineRule="auto"/>
        <w:ind w:firstLine="708"/>
      </w:pPr>
    </w:p>
    <w:p w14:paraId="46ECFC0D" w14:textId="5F069B18" w:rsidR="00CA5D26" w:rsidRDefault="00CA5D26" w:rsidP="003B59BE">
      <w:pPr>
        <w:spacing w:after="0" w:line="480" w:lineRule="auto"/>
      </w:pPr>
      <w:r>
        <w:t xml:space="preserve">Figura </w:t>
      </w:r>
      <w:r w:rsidR="000B5C22">
        <w:t>8</w:t>
      </w:r>
      <w:r>
        <w:t xml:space="preserve">. Distribución proporcional por tipo de anuncios por partido político. </w:t>
      </w:r>
    </w:p>
    <w:p w14:paraId="260A7BC7" w14:textId="6D649375" w:rsidR="008B3489" w:rsidRDefault="008F2795" w:rsidP="003B59BE">
      <w:pPr>
        <w:spacing w:after="0" w:line="480" w:lineRule="auto"/>
      </w:pPr>
      <w:r>
        <w:rPr>
          <w:noProof/>
        </w:rPr>
        <w:drawing>
          <wp:inline distT="0" distB="0" distL="0" distR="0" wp14:anchorId="4F92B0FF" wp14:editId="2E7A5D0F">
            <wp:extent cx="5419078" cy="3777127"/>
            <wp:effectExtent l="0" t="0" r="0" b="0"/>
            <wp:docPr id="983693783"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1">
                      <a:extLst>
                        <a:ext uri="{28A0092B-C50C-407E-A947-70E740481C1C}">
                          <a14:useLocalDpi xmlns:a14="http://schemas.microsoft.com/office/drawing/2010/main" val="0"/>
                        </a:ext>
                      </a:extLst>
                    </a:blip>
                    <a:srcRect t="6283"/>
                    <a:stretch>
                      <a:fillRect/>
                    </a:stretch>
                  </pic:blipFill>
                  <pic:spPr bwMode="auto">
                    <a:xfrm>
                      <a:off x="0" y="0"/>
                      <a:ext cx="5430754" cy="3785265"/>
                    </a:xfrm>
                    <a:prstGeom prst="rect">
                      <a:avLst/>
                    </a:prstGeom>
                    <a:noFill/>
                    <a:ln>
                      <a:noFill/>
                    </a:ln>
                    <a:extLst>
                      <a:ext uri="{53640926-AAD7-44D8-BBD7-CCE9431645EC}">
                        <a14:shadowObscured xmlns:a14="http://schemas.microsoft.com/office/drawing/2010/main"/>
                      </a:ext>
                    </a:extLst>
                  </pic:spPr>
                </pic:pic>
              </a:graphicData>
            </a:graphic>
          </wp:inline>
        </w:drawing>
      </w:r>
    </w:p>
    <w:p w14:paraId="47FC1FFF" w14:textId="2E645F8A" w:rsidR="00E05B0B" w:rsidRDefault="00E26EC9" w:rsidP="003B59BE">
      <w:pPr>
        <w:spacing w:after="0" w:line="480" w:lineRule="auto"/>
      </w:pPr>
      <w:r>
        <w:t>Fuente: Elaboración propia</w:t>
      </w:r>
    </w:p>
    <w:p w14:paraId="591F9E55" w14:textId="77777777" w:rsidR="00C942DB" w:rsidRDefault="00C942DB" w:rsidP="003B59BE">
      <w:pPr>
        <w:spacing w:after="0" w:line="480" w:lineRule="auto"/>
      </w:pPr>
    </w:p>
    <w:p w14:paraId="60921C15" w14:textId="0740E79A" w:rsidR="00F2017F" w:rsidRDefault="00E05B0B" w:rsidP="003B59BE">
      <w:pPr>
        <w:spacing w:after="0" w:line="480" w:lineRule="auto"/>
        <w:ind w:firstLine="708"/>
      </w:pPr>
      <w:r>
        <w:t xml:space="preserve">La Figura </w:t>
      </w:r>
      <w:r w:rsidR="000B5C22">
        <w:t>9</w:t>
      </w:r>
      <w:r>
        <w:t xml:space="preserve"> nos muestra la distribución proporcional dentro del partido del gasto y las impresiones estimadas por tipo de anuncio. </w:t>
      </w:r>
      <w:r w:rsidRPr="00E05B0B">
        <w:t xml:space="preserve">Los gráficos muestran que, tanto en términos de gasto publicitario como de impresiones alcanzadas, los partidos presentan patrones </w:t>
      </w:r>
      <w:r>
        <w:t>similares</w:t>
      </w:r>
      <w:r w:rsidRPr="00E05B0B">
        <w:t xml:space="preserve"> en la asignación de recursos entre categorías de anuncios.</w:t>
      </w:r>
      <w:r>
        <w:t xml:space="preserve"> A su vez, </w:t>
      </w:r>
      <w:r>
        <w:lastRenderedPageBreak/>
        <w:t>los gráficos sugieren que no hay un tipo de anuncio que sea sistemáticamente apoyado por el algoritmo para ser más eficaz y alcanzar mayores impresiones con menor gasto.</w:t>
      </w:r>
    </w:p>
    <w:p w14:paraId="5DD857A4" w14:textId="77777777" w:rsidR="00C942DB" w:rsidRDefault="00C942DB" w:rsidP="003B59BE">
      <w:pPr>
        <w:spacing w:after="0" w:line="480" w:lineRule="auto"/>
        <w:ind w:firstLine="708"/>
      </w:pPr>
    </w:p>
    <w:p w14:paraId="65128D6D" w14:textId="3BD62E87" w:rsidR="00F2017F" w:rsidRDefault="00E05B0B" w:rsidP="003B59BE">
      <w:pPr>
        <w:spacing w:after="0" w:line="480" w:lineRule="auto"/>
      </w:pPr>
      <w:r>
        <w:t xml:space="preserve">Figura </w:t>
      </w:r>
      <w:r w:rsidR="000B5C22">
        <w:t>9</w:t>
      </w:r>
      <w:r>
        <w:t>. D</w:t>
      </w:r>
      <w:r w:rsidRPr="00E05B0B">
        <w:t xml:space="preserve">istribución proporcional del gasto y las impresiones estimadas por tipo de anuncio </w:t>
      </w:r>
      <w:r>
        <w:rPr>
          <w:noProof/>
        </w:rPr>
        <w:drawing>
          <wp:inline distT="0" distB="0" distL="0" distR="0" wp14:anchorId="01F8FD89" wp14:editId="38125AA2">
            <wp:extent cx="5415822" cy="3366917"/>
            <wp:effectExtent l="0" t="0" r="0" b="5080"/>
            <wp:docPr id="2069101877"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994"/>
                    <a:stretch>
                      <a:fillRect/>
                    </a:stretch>
                  </pic:blipFill>
                  <pic:spPr bwMode="auto">
                    <a:xfrm>
                      <a:off x="0" y="0"/>
                      <a:ext cx="5429965" cy="3375710"/>
                    </a:xfrm>
                    <a:prstGeom prst="rect">
                      <a:avLst/>
                    </a:prstGeom>
                    <a:noFill/>
                    <a:ln>
                      <a:noFill/>
                    </a:ln>
                    <a:extLst>
                      <a:ext uri="{53640926-AAD7-44D8-BBD7-CCE9431645EC}">
                        <a14:shadowObscured xmlns:a14="http://schemas.microsoft.com/office/drawing/2010/main"/>
                      </a:ext>
                    </a:extLst>
                  </pic:spPr>
                </pic:pic>
              </a:graphicData>
            </a:graphic>
          </wp:inline>
        </w:drawing>
      </w:r>
    </w:p>
    <w:p w14:paraId="0AB1250D" w14:textId="6D2F4D51" w:rsidR="00F2017F" w:rsidRDefault="00E05B0B" w:rsidP="003B59BE">
      <w:pPr>
        <w:spacing w:after="0" w:line="480" w:lineRule="auto"/>
      </w:pPr>
      <w:r>
        <w:t>Fuente: Elaboración propia en base a datos de Meta</w:t>
      </w:r>
    </w:p>
    <w:p w14:paraId="2DC8E68D" w14:textId="77777777" w:rsidR="00C942DB" w:rsidRDefault="00C942DB" w:rsidP="003B59BE">
      <w:pPr>
        <w:spacing w:after="0" w:line="480" w:lineRule="auto"/>
      </w:pPr>
    </w:p>
    <w:p w14:paraId="343A4CC4" w14:textId="1D1A6B43" w:rsidR="00CE1E33" w:rsidRDefault="00046390" w:rsidP="003B59BE">
      <w:pPr>
        <w:spacing w:after="0" w:line="480" w:lineRule="auto"/>
        <w:ind w:firstLine="708"/>
      </w:pPr>
      <w:r>
        <w:t xml:space="preserve">Como aproximación al alcance de los anunciantes se </w:t>
      </w:r>
      <w:r w:rsidR="0073508F">
        <w:t>generó</w:t>
      </w:r>
      <w:r>
        <w:t xml:space="preserve"> una nueva variable para los anuncios que tienen alcance nacional, son dirigidos para Montevideo y aquellos que pertenecen a anunciantes del interior. La Figura </w:t>
      </w:r>
      <w:r w:rsidR="000B5C22">
        <w:t>10</w:t>
      </w:r>
      <w:r>
        <w:t xml:space="preserve"> muestra la frecuencia y proporción de los tipos de anuncios según el alcance territorial.</w:t>
      </w:r>
      <w:r w:rsidR="00CE1E33">
        <w:t xml:space="preserve"> Mientras que los anuncios de alcance nacional y los de Montevideo tienen estrategias similares, los anuncios del interior tienen mayor presencia de anuncios ceremoniales y llamados a la acción. Esto se puede deber a la gran cantidad de actos en las diversas localidades que se anuncian a través de las redes sociales.</w:t>
      </w:r>
    </w:p>
    <w:p w14:paraId="0C9FABDB" w14:textId="151D40C8" w:rsidR="00046390" w:rsidRDefault="00CE1E33" w:rsidP="003B59BE">
      <w:pPr>
        <w:spacing w:after="0" w:line="480" w:lineRule="auto"/>
      </w:pPr>
      <w:r>
        <w:lastRenderedPageBreak/>
        <w:t xml:space="preserve"> </w:t>
      </w:r>
    </w:p>
    <w:p w14:paraId="4DFE3AF5" w14:textId="0C6C3A6C" w:rsidR="00CE1E33" w:rsidRDefault="00CE1E33" w:rsidP="003B59BE">
      <w:pPr>
        <w:spacing w:after="0" w:line="480" w:lineRule="auto"/>
      </w:pPr>
      <w:r>
        <w:t xml:space="preserve">Figura </w:t>
      </w:r>
      <w:r w:rsidR="000B5C22">
        <w:t>10</w:t>
      </w:r>
      <w:r>
        <w:t>. Frecuencia y proporción de tipos de anuncio según alcance territorial</w:t>
      </w:r>
    </w:p>
    <w:p w14:paraId="6E76C2B5" w14:textId="17F10805" w:rsidR="00046390" w:rsidRDefault="00CE1E33" w:rsidP="003B59BE">
      <w:pPr>
        <w:spacing w:after="0" w:line="480" w:lineRule="auto"/>
      </w:pPr>
      <w:r>
        <w:rPr>
          <w:noProof/>
        </w:rPr>
        <w:drawing>
          <wp:inline distT="0" distB="0" distL="0" distR="0" wp14:anchorId="23BCCF41" wp14:editId="5049BE32">
            <wp:extent cx="5845731" cy="3539559"/>
            <wp:effectExtent l="0" t="0" r="3175" b="3810"/>
            <wp:docPr id="1988903148"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635"/>
                    <a:stretch>
                      <a:fillRect/>
                    </a:stretch>
                  </pic:blipFill>
                  <pic:spPr bwMode="auto">
                    <a:xfrm>
                      <a:off x="0" y="0"/>
                      <a:ext cx="5876902" cy="3558433"/>
                    </a:xfrm>
                    <a:prstGeom prst="rect">
                      <a:avLst/>
                    </a:prstGeom>
                    <a:noFill/>
                    <a:ln>
                      <a:noFill/>
                    </a:ln>
                    <a:extLst>
                      <a:ext uri="{53640926-AAD7-44D8-BBD7-CCE9431645EC}">
                        <a14:shadowObscured xmlns:a14="http://schemas.microsoft.com/office/drawing/2010/main"/>
                      </a:ext>
                    </a:extLst>
                  </pic:spPr>
                </pic:pic>
              </a:graphicData>
            </a:graphic>
          </wp:inline>
        </w:drawing>
      </w:r>
    </w:p>
    <w:p w14:paraId="6FC4F2B7" w14:textId="02D2D625" w:rsidR="00046390" w:rsidRDefault="00CE1E33" w:rsidP="003B59BE">
      <w:pPr>
        <w:spacing w:after="0" w:line="480" w:lineRule="auto"/>
      </w:pPr>
      <w:r>
        <w:t>Fuente: Elaboración propia</w:t>
      </w:r>
    </w:p>
    <w:p w14:paraId="15F4ECE8" w14:textId="77777777" w:rsidR="00C942DB" w:rsidRDefault="00C942DB" w:rsidP="003B59BE">
      <w:pPr>
        <w:spacing w:after="0" w:line="480" w:lineRule="auto"/>
      </w:pPr>
    </w:p>
    <w:p w14:paraId="2E7B8155" w14:textId="4A201866" w:rsidR="00CE1E33" w:rsidRDefault="00CE1E33" w:rsidP="003B59BE">
      <w:pPr>
        <w:spacing w:after="0" w:line="480" w:lineRule="auto"/>
        <w:ind w:firstLine="708"/>
      </w:pPr>
      <w:r>
        <w:t xml:space="preserve">La API nos brinda información sobre la distribución del anuncio en la región, desglosada a nivel de porcentajes por departamento. </w:t>
      </w:r>
      <w:r w:rsidR="005527C5">
        <w:t xml:space="preserve">Se calculó, para cada anuncio, la </w:t>
      </w:r>
      <w:r w:rsidR="005527C5" w:rsidRPr="005527C5">
        <w:t>distribución territorial de las impresiones de cada anuncio en Meta a partir de los datos de</w:t>
      </w:r>
      <w:r w:rsidR="005527C5">
        <w:t xml:space="preserve"> la variable</w:t>
      </w:r>
      <w:r w:rsidR="005527C5" w:rsidRPr="005527C5">
        <w:t xml:space="preserve"> </w:t>
      </w:r>
      <w:r w:rsidR="005527C5" w:rsidRPr="005527C5">
        <w:rPr>
          <w:i/>
          <w:iCs/>
        </w:rPr>
        <w:t>delivery_by_region</w:t>
      </w:r>
      <w:r w:rsidR="005527C5">
        <w:t xml:space="preserve">. </w:t>
      </w:r>
      <w:r>
        <w:t xml:space="preserve">A partir de esta información se generó la Figura </w:t>
      </w:r>
      <w:r w:rsidR="000B5C22">
        <w:t>11</w:t>
      </w:r>
      <w:r>
        <w:t xml:space="preserve"> donde se presenta la concentración de impresiones por departamento según tipo de anuncio. </w:t>
      </w:r>
      <w:r w:rsidR="005527C5" w:rsidRPr="005527C5">
        <w:t xml:space="preserve">Se construye la concentración para cada tipo de anuncios como la proporción de impresiones asignada a cada departamento respecto del total nacional dentro </w:t>
      </w:r>
      <w:r w:rsidR="005527C5">
        <w:t>del mismo tipo</w:t>
      </w:r>
      <w:r w:rsidR="005527C5" w:rsidRPr="005527C5">
        <w:t>, permitiendo identificar qué tan focalizada o distribuida</w:t>
      </w:r>
      <w:r w:rsidR="005527C5">
        <w:t xml:space="preserve"> </w:t>
      </w:r>
      <w:r w:rsidR="005527C5" w:rsidRPr="005527C5">
        <w:t>se encuentra territorialmente la difusión de cada tipo de contenido</w:t>
      </w:r>
      <w:r w:rsidR="005527C5">
        <w:t>. L</w:t>
      </w:r>
      <w:r>
        <w:t xml:space="preserve">a figura refleja que la concentración acompaña la distribución de la población, ya que se observa para </w:t>
      </w:r>
      <w:r w:rsidR="00061B92">
        <w:t>todos los tipos</w:t>
      </w:r>
      <w:r>
        <w:t xml:space="preserve"> mayor cantidad de anuncios en la capital y los departamentos más poblados.</w:t>
      </w:r>
      <w:r w:rsidR="00061B92">
        <w:t xml:space="preserve"> </w:t>
      </w:r>
      <w:r w:rsidR="00061B92">
        <w:lastRenderedPageBreak/>
        <w:t>No se evidencian patrones territoriales que favorezcan la emergencia de un tipo de anuncio.</w:t>
      </w:r>
    </w:p>
    <w:p w14:paraId="13DDDF9B" w14:textId="77777777" w:rsidR="00C942DB" w:rsidRDefault="00C942DB" w:rsidP="003B59BE">
      <w:pPr>
        <w:spacing w:after="0" w:line="480" w:lineRule="auto"/>
        <w:ind w:firstLine="708"/>
      </w:pPr>
    </w:p>
    <w:p w14:paraId="41DCB775" w14:textId="3490A962" w:rsidR="00CE1E33" w:rsidRDefault="00CE1E33" w:rsidP="003B59BE">
      <w:pPr>
        <w:spacing w:after="0" w:line="480" w:lineRule="auto"/>
      </w:pPr>
      <w:r>
        <w:t xml:space="preserve">Figura </w:t>
      </w:r>
      <w:r w:rsidR="000B5C22">
        <w:t>11</w:t>
      </w:r>
      <w:r>
        <w:t>. Distribución por departamento de impresiones según tipo de anuncio</w:t>
      </w:r>
    </w:p>
    <w:p w14:paraId="706E51FF" w14:textId="25A92A09" w:rsidR="008B3489" w:rsidRPr="008B3489" w:rsidRDefault="00576F4C" w:rsidP="003B59BE">
      <w:pPr>
        <w:spacing w:after="0" w:line="480" w:lineRule="auto"/>
        <w:jc w:val="center"/>
      </w:pPr>
      <w:r>
        <w:rPr>
          <w:noProof/>
        </w:rPr>
        <w:drawing>
          <wp:inline distT="0" distB="0" distL="0" distR="0" wp14:anchorId="4A0FF344" wp14:editId="3F8D48B6">
            <wp:extent cx="5761990" cy="3435205"/>
            <wp:effectExtent l="0" t="0" r="0" b="0"/>
            <wp:docPr id="4062701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t="6077"/>
                    <a:stretch>
                      <a:fillRect/>
                    </a:stretch>
                  </pic:blipFill>
                  <pic:spPr bwMode="auto">
                    <a:xfrm>
                      <a:off x="0" y="0"/>
                      <a:ext cx="5768298" cy="3438966"/>
                    </a:xfrm>
                    <a:prstGeom prst="rect">
                      <a:avLst/>
                    </a:prstGeom>
                    <a:noFill/>
                    <a:ln>
                      <a:noFill/>
                    </a:ln>
                    <a:extLst>
                      <a:ext uri="{53640926-AAD7-44D8-BBD7-CCE9431645EC}">
                        <a14:shadowObscured xmlns:a14="http://schemas.microsoft.com/office/drawing/2010/main"/>
                      </a:ext>
                    </a:extLst>
                  </pic:spPr>
                </pic:pic>
              </a:graphicData>
            </a:graphic>
          </wp:inline>
        </w:drawing>
      </w:r>
    </w:p>
    <w:p w14:paraId="0A0600F0" w14:textId="7F8E03CF" w:rsidR="00686629" w:rsidRDefault="00CE1E33" w:rsidP="003B59BE">
      <w:pPr>
        <w:spacing w:after="0" w:line="480" w:lineRule="auto"/>
      </w:pPr>
      <w:r>
        <w:t>Fuente: Elaboración propia en base a datos de Meta</w:t>
      </w:r>
    </w:p>
    <w:p w14:paraId="1DC7720D" w14:textId="5438E75F" w:rsidR="00470F26" w:rsidRPr="008B3489" w:rsidRDefault="00470F26" w:rsidP="003B59BE">
      <w:pPr>
        <w:spacing w:after="0" w:line="480" w:lineRule="auto"/>
      </w:pPr>
    </w:p>
    <w:p w14:paraId="0C9F39CF" w14:textId="7FE76A0C" w:rsidR="00BA5408" w:rsidRDefault="00BA5408" w:rsidP="003B59BE">
      <w:pPr>
        <w:pStyle w:val="Ttulo2"/>
        <w:spacing w:before="0" w:after="0" w:line="480" w:lineRule="auto"/>
        <w:rPr>
          <w:rFonts w:cs="Times New Roman"/>
          <w:szCs w:val="24"/>
        </w:rPr>
      </w:pPr>
      <w:r w:rsidRPr="0080590C">
        <w:rPr>
          <w:rFonts w:cs="Times New Roman"/>
          <w:szCs w:val="24"/>
        </w:rPr>
        <w:t>Conclusiones</w:t>
      </w:r>
    </w:p>
    <w:p w14:paraId="6BDC4591" w14:textId="77777777" w:rsidR="003B59BE" w:rsidRPr="003B59BE" w:rsidRDefault="003B59BE" w:rsidP="003B59BE"/>
    <w:p w14:paraId="4B18BBBF" w14:textId="617FBBD1" w:rsidR="00F05CA1" w:rsidRDefault="00F816D9" w:rsidP="003B59BE">
      <w:pPr>
        <w:spacing w:after="0" w:line="480" w:lineRule="auto"/>
        <w:ind w:firstLine="708"/>
      </w:pPr>
      <w:r>
        <w:t>E</w:t>
      </w:r>
      <w:r w:rsidRPr="0080590C">
        <w:t xml:space="preserve">ste </w:t>
      </w:r>
      <w:r>
        <w:t xml:space="preserve">trabajo </w:t>
      </w:r>
      <w:r w:rsidR="00F05CA1">
        <w:t xml:space="preserve">describe y analiza los tipos de anuncios que se realizaron en las plataformas de Meta en la campaña electoral de las elecciones </w:t>
      </w:r>
      <w:r w:rsidR="003B59BE">
        <w:t>nacionales</w:t>
      </w:r>
      <w:r w:rsidR="00F05CA1">
        <w:t xml:space="preserve"> de Uruguay en 2024.</w:t>
      </w:r>
      <w:r w:rsidR="00F05CA1" w:rsidRPr="00F05CA1">
        <w:t xml:space="preserve"> </w:t>
      </w:r>
      <w:r w:rsidR="00563940">
        <w:t xml:space="preserve"> </w:t>
      </w:r>
      <w:r w:rsidR="003B59BE">
        <w:t>A</w:t>
      </w:r>
      <w:r w:rsidR="00F05CA1" w:rsidRPr="0080590C">
        <w:t xml:space="preserve">barca </w:t>
      </w:r>
      <w:r w:rsidR="00F05CA1">
        <w:t xml:space="preserve">todos los anuncios </w:t>
      </w:r>
      <w:r w:rsidR="003B59BE">
        <w:t>realizados de contenido electoral</w:t>
      </w:r>
      <w:r w:rsidR="00F05CA1">
        <w:t xml:space="preserve"> </w:t>
      </w:r>
      <w:r w:rsidR="003B59BE">
        <w:t>en</w:t>
      </w:r>
      <w:r w:rsidR="00F05CA1">
        <w:t xml:space="preserve"> </w:t>
      </w:r>
      <w:r w:rsidR="00F05CA1" w:rsidRPr="0080590C">
        <w:t>l</w:t>
      </w:r>
      <w:r w:rsidR="00581BE7">
        <w:t>a</w:t>
      </w:r>
      <w:r w:rsidR="00F05CA1" w:rsidRPr="0080590C">
        <w:t xml:space="preserve">s diferentes </w:t>
      </w:r>
      <w:r w:rsidR="003B59BE">
        <w:t>elecciones</w:t>
      </w:r>
      <w:r w:rsidR="00581BE7">
        <w:t>:</w:t>
      </w:r>
      <w:r w:rsidR="003B59BE">
        <w:t xml:space="preserve"> primaras y nacionales (primera y segunda vuelta presidencial) en todos los </w:t>
      </w:r>
      <w:r w:rsidR="00F05CA1" w:rsidRPr="0080590C">
        <w:t>niveles de competencia</w:t>
      </w:r>
      <w:r w:rsidR="003B59BE">
        <w:t xml:space="preserve"> (nacional y departamental)</w:t>
      </w:r>
      <w:r w:rsidR="00F05CA1">
        <w:t xml:space="preserve">. </w:t>
      </w:r>
      <w:r w:rsidR="00563940">
        <w:t>E</w:t>
      </w:r>
      <w:r w:rsidR="00563940" w:rsidRPr="00563940">
        <w:t xml:space="preserve">l enfoque adoptado permitió captar </w:t>
      </w:r>
      <w:r w:rsidR="00563940">
        <w:t>diferencias y similitudes en las estrategias</w:t>
      </w:r>
      <w:r w:rsidR="00563940" w:rsidRPr="00563940">
        <w:t xml:space="preserve"> de las campañas digitales</w:t>
      </w:r>
      <w:r w:rsidR="003B59BE">
        <w:t>.</w:t>
      </w:r>
    </w:p>
    <w:p w14:paraId="7EACEF24" w14:textId="421B77A3" w:rsidR="00470F26" w:rsidRDefault="00470F26" w:rsidP="003B59BE">
      <w:pPr>
        <w:spacing w:after="0" w:line="480" w:lineRule="auto"/>
        <w:ind w:firstLine="708"/>
      </w:pPr>
      <w:r w:rsidRPr="00470F26">
        <w:lastRenderedPageBreak/>
        <w:t>El análisis realizado se</w:t>
      </w:r>
      <w:r>
        <w:t xml:space="preserve"> basó</w:t>
      </w:r>
      <w:r w:rsidRPr="00470F26">
        <w:t xml:space="preserve"> </w:t>
      </w:r>
      <w:r>
        <w:t xml:space="preserve">en </w:t>
      </w:r>
      <w:r w:rsidRPr="00470F26">
        <w:t xml:space="preserve">la tipología propuesta por </w:t>
      </w:r>
      <w:proofErr w:type="spellStart"/>
      <w:r w:rsidRPr="00470F26">
        <w:t>Stromer-Galley</w:t>
      </w:r>
      <w:proofErr w:type="spellEnd"/>
      <w:r w:rsidRPr="00470F26">
        <w:t xml:space="preserve"> et al. (2021), que distingue entre mensajes de promoción, ataque, imagen, contenido temático, llamados a la acción y ceremoniales. Esta </w:t>
      </w:r>
      <w:r>
        <w:t>tipología</w:t>
      </w:r>
      <w:r w:rsidRPr="00470F26">
        <w:t xml:space="preserve"> permitió capturar la diversidad de funciones que asumen los anuncios políticos en Meta</w:t>
      </w:r>
      <w:r>
        <w:t>.</w:t>
      </w:r>
      <w:r w:rsidRPr="00470F26">
        <w:t xml:space="preserve"> </w:t>
      </w:r>
      <w:r>
        <w:t>D</w:t>
      </w:r>
      <w:r w:rsidRPr="00470F26">
        <w:t xml:space="preserve">iferenciando entre estrategias centradas en </w:t>
      </w:r>
      <w:r>
        <w:t>la persuasión, ya sea</w:t>
      </w:r>
      <w:r w:rsidRPr="00470F26">
        <w:t xml:space="preserve"> mediante atributos personales o propuestas programáticas, así como entre mensajes orientados a movilizar o a fortalecer vínculos simbólicos con distintos públicos.</w:t>
      </w:r>
    </w:p>
    <w:p w14:paraId="1FF4E441" w14:textId="340CB57B" w:rsidR="00C90AA8" w:rsidRDefault="00F05CA1" w:rsidP="003B59BE">
      <w:pPr>
        <w:spacing w:after="0" w:line="480" w:lineRule="auto"/>
        <w:ind w:firstLine="708"/>
      </w:pPr>
      <w:r>
        <w:t xml:space="preserve">Los resultados muestran que </w:t>
      </w:r>
      <w:r w:rsidR="00761846">
        <w:t>la proporción de los tipos de anuncios a lo largo de las etapas del ciclo electoral se mantiene estable con proporciones similares en todas las elecciones. Lo que significa que, a diferencia de lo que</w:t>
      </w:r>
      <w:r w:rsidR="00563940">
        <w:t xml:space="preserve"> señala la literatura</w:t>
      </w:r>
      <w:r w:rsidR="00761846">
        <w:t xml:space="preserve">, las reglas y </w:t>
      </w:r>
      <w:r w:rsidR="003B59BE">
        <w:t xml:space="preserve">los </w:t>
      </w:r>
      <w:r w:rsidR="00761846">
        <w:t xml:space="preserve">objetivos específicos de cada etapa no condicionan </w:t>
      </w:r>
      <w:r w:rsidR="003B59BE">
        <w:t xml:space="preserve">significativamente </w:t>
      </w:r>
      <w:r w:rsidR="00761846">
        <w:t xml:space="preserve">los tipos de anuncios. </w:t>
      </w:r>
    </w:p>
    <w:p w14:paraId="2D1FFDBD" w14:textId="78D140BD" w:rsidR="00F05CA1" w:rsidRDefault="00563940" w:rsidP="003B59BE">
      <w:pPr>
        <w:spacing w:after="0" w:line="480" w:lineRule="auto"/>
        <w:ind w:firstLine="708"/>
      </w:pPr>
      <w:r>
        <w:t>A nivel general</w:t>
      </w:r>
      <w:r w:rsidRPr="00563940">
        <w:t>, la campaña se caracterizó por mensajes de promoción</w:t>
      </w:r>
      <w:r>
        <w:t xml:space="preserve"> programática y</w:t>
      </w:r>
      <w:r w:rsidRPr="00563940">
        <w:t xml:space="preserve"> un uso </w:t>
      </w:r>
      <w:r>
        <w:t xml:space="preserve">generalizado </w:t>
      </w:r>
      <w:r w:rsidRPr="00563940">
        <w:t>de los llamados a la acción. Los anuncios de ataque fueron minoritarios en todo el ciclo, lo que indica un tono poco confrontacional.</w:t>
      </w:r>
      <w:r>
        <w:t xml:space="preserve"> </w:t>
      </w:r>
      <w:r w:rsidRPr="00563940">
        <w:t xml:space="preserve">Asimismo, el algoritmo de entrega de anuncios no favoreció sistemáticamente ningún tipo de mensaje, ya que la distribución del gasto y de las impresiones entre categorías siguió patrones similares </w:t>
      </w:r>
      <w:r w:rsidR="003B59BE">
        <w:t>por partidos</w:t>
      </w:r>
      <w:r w:rsidRPr="00563940">
        <w:t>.</w:t>
      </w:r>
    </w:p>
    <w:p w14:paraId="5FC3B7E0" w14:textId="494B233C" w:rsidR="00F05CA1" w:rsidRDefault="00563940" w:rsidP="003B59BE">
      <w:pPr>
        <w:spacing w:after="0" w:line="480" w:lineRule="auto"/>
        <w:ind w:firstLine="708"/>
      </w:pPr>
      <w:r w:rsidRPr="00563940">
        <w:t xml:space="preserve">Al observar variaciones territoriales, se </w:t>
      </w:r>
      <w:r>
        <w:t>muestra</w:t>
      </w:r>
      <w:r w:rsidRPr="00563940">
        <w:t xml:space="preserve"> que la concentración de impresiones</w:t>
      </w:r>
      <w:r w:rsidR="003B59BE">
        <w:t xml:space="preserve"> de los anuncios</w:t>
      </w:r>
      <w:r w:rsidRPr="00563940">
        <w:t xml:space="preserve"> reproduce la distribución de la población</w:t>
      </w:r>
      <w:r>
        <w:t xml:space="preserve">. </w:t>
      </w:r>
      <w:r w:rsidRPr="00563940">
        <w:t xml:space="preserve">Montevideo y los departamentos más poblados reciben mayor volumen de anuncios en todas las categorías. </w:t>
      </w:r>
      <w:r>
        <w:t xml:space="preserve">Sin embargo, se encuentran diferencias </w:t>
      </w:r>
      <w:r w:rsidR="00C90AA8">
        <w:t xml:space="preserve">cuando </w:t>
      </w:r>
      <w:r w:rsidR="00581BE7">
        <w:t>compraramos</w:t>
      </w:r>
      <w:r w:rsidR="00C90AA8">
        <w:t xml:space="preserve"> </w:t>
      </w:r>
      <w:r w:rsidR="003B59BE">
        <w:t>los tipos de anuncio según si los anunciantes tienen o no escala nacional</w:t>
      </w:r>
      <w:r w:rsidR="00C90AA8">
        <w:t xml:space="preserve">. Mientras que </w:t>
      </w:r>
      <w:r w:rsidR="00581BE7">
        <w:t xml:space="preserve">la distribución de tipos de anuncios de </w:t>
      </w:r>
      <w:r w:rsidR="00C90AA8">
        <w:t xml:space="preserve">anunciantes de Montevideo y de </w:t>
      </w:r>
      <w:r w:rsidR="00581BE7">
        <w:t>escala</w:t>
      </w:r>
      <w:r w:rsidR="00C90AA8">
        <w:t xml:space="preserve"> nacional siguen patrones similares, </w:t>
      </w:r>
      <w:r w:rsidR="00581BE7">
        <w:t>en los de</w:t>
      </w:r>
      <w:r w:rsidR="00C90AA8">
        <w:t xml:space="preserve"> anunciantes del interior </w:t>
      </w:r>
      <w:r w:rsidR="00581BE7">
        <w:t xml:space="preserve">tienen menos prevalencia </w:t>
      </w:r>
      <w:r w:rsidR="00581BE7">
        <w:lastRenderedPageBreak/>
        <w:t xml:space="preserve">los </w:t>
      </w:r>
      <w:r w:rsidR="00C90AA8">
        <w:t xml:space="preserve">anuncios programáticos y </w:t>
      </w:r>
      <w:r w:rsidR="00581BE7">
        <w:t xml:space="preserve">existe una mayor </w:t>
      </w:r>
      <w:r w:rsidR="00C90AA8">
        <w:t xml:space="preserve">proporción de anuncios de promoción de imagen. </w:t>
      </w:r>
      <w:r w:rsidR="00581BE7">
        <w:t>Entre los anunciantes del interior</w:t>
      </w:r>
      <w:r w:rsidR="00C90AA8">
        <w:t xml:space="preserve"> </w:t>
      </w:r>
      <w:r w:rsidR="00581BE7">
        <w:t>tienen mayor prevalencia</w:t>
      </w:r>
      <w:r w:rsidR="00C90AA8">
        <w:t xml:space="preserve"> los anuncios ceremoniales y de llamado a la acción</w:t>
      </w:r>
      <w:r w:rsidR="00581BE7">
        <w:t>.</w:t>
      </w:r>
    </w:p>
    <w:p w14:paraId="513A8279" w14:textId="0B7E65E7" w:rsidR="00470F26" w:rsidRDefault="00581BE7" w:rsidP="00470F26">
      <w:pPr>
        <w:spacing w:after="0" w:line="480" w:lineRule="auto"/>
        <w:ind w:firstLine="708"/>
      </w:pPr>
      <w:r>
        <w:t xml:space="preserve">Las diferencias en las distribuciones de tipos de anuncios entre </w:t>
      </w:r>
      <w:r w:rsidR="00C90AA8">
        <w:t>partidos son muy pequeñas. El FA es el partido que más ataca</w:t>
      </w:r>
      <w:r>
        <w:t xml:space="preserve">. Esto es </w:t>
      </w:r>
      <w:r w:rsidR="00C90AA8">
        <w:t>acorde a su rol como oposición del gobierno</w:t>
      </w:r>
      <w:r w:rsidR="001E3270">
        <w:t xml:space="preserve"> y </w:t>
      </w:r>
      <w:r>
        <w:t xml:space="preserve">también a </w:t>
      </w:r>
      <w:r w:rsidR="001E3270">
        <w:t>que varios sectores dentro del partido impulsaron la reforma constitucional de seguridad social.</w:t>
      </w:r>
      <w:r w:rsidR="00C90AA8">
        <w:t xml:space="preserve"> </w:t>
      </w:r>
      <w:r w:rsidR="001E3270">
        <w:t>M</w:t>
      </w:r>
      <w:r w:rsidR="00C90AA8">
        <w:t>ientras que el PN</w:t>
      </w:r>
      <w:r w:rsidR="001E3270">
        <w:t>,</w:t>
      </w:r>
      <w:r w:rsidR="00C90AA8">
        <w:t xml:space="preserve"> que representa la continuidad del gobierno, es el que más anuncios de promoción </w:t>
      </w:r>
      <w:r w:rsidR="001E3270">
        <w:t xml:space="preserve">hace. </w:t>
      </w:r>
      <w:r w:rsidR="0095516F">
        <w:t xml:space="preserve">El análisis </w:t>
      </w:r>
      <w:r w:rsidR="009B5BD2">
        <w:t>de los tipos</w:t>
      </w:r>
      <w:r w:rsidR="0095516F">
        <w:t xml:space="preserve"> de anuncios que realizan partidos y candidatos en Meta en las diferentes etapas del ciclo electoral en Uruguay va en línea con las características de la política uruguaya. Poco polarizada en términos afectivos y centrada en diferencias programáticas. </w:t>
      </w:r>
    </w:p>
    <w:p w14:paraId="2F146AC8" w14:textId="2D9D29F5" w:rsidR="001F65E8" w:rsidRPr="00470F26" w:rsidRDefault="00470F26" w:rsidP="00470F26">
      <w:pPr>
        <w:spacing w:line="278" w:lineRule="auto"/>
      </w:pPr>
      <w:r>
        <w:br w:type="page"/>
      </w:r>
    </w:p>
    <w:p w14:paraId="6B97B6EA" w14:textId="274A8065" w:rsidR="00A51E5B" w:rsidRPr="0080590C" w:rsidRDefault="00A712FB" w:rsidP="00E26EC9">
      <w:pPr>
        <w:pStyle w:val="Ttulo2"/>
        <w:spacing w:after="0" w:line="480" w:lineRule="auto"/>
        <w:rPr>
          <w:rFonts w:cs="Times New Roman"/>
          <w:szCs w:val="24"/>
        </w:rPr>
      </w:pPr>
      <w:r w:rsidRPr="0080590C">
        <w:rPr>
          <w:rFonts w:cs="Times New Roman"/>
          <w:szCs w:val="24"/>
        </w:rPr>
        <w:lastRenderedPageBreak/>
        <w:t>Referencias</w:t>
      </w:r>
    </w:p>
    <w:p w14:paraId="6333BC67" w14:textId="77777777" w:rsidR="00C942DB" w:rsidRPr="00C942DB" w:rsidRDefault="009B6922" w:rsidP="00C942DB">
      <w:pPr>
        <w:pStyle w:val="Bibliografa"/>
        <w:rPr>
          <w:lang w:val="en-GB"/>
        </w:rPr>
      </w:pPr>
      <w:r>
        <w:fldChar w:fldCharType="begin"/>
      </w:r>
      <w:r w:rsidRPr="009B118F">
        <w:instrText xml:space="preserve"> ADDIN ZOTERO_BIBL {"uncited":[],"omitted":[],"custom":[]} CSL_BIBLIOGRAPHY </w:instrText>
      </w:r>
      <w:r>
        <w:fldChar w:fldCharType="separate"/>
      </w:r>
      <w:r w:rsidR="00C942DB" w:rsidRPr="009B118F">
        <w:t xml:space="preserve">Ali, Muhammad, Piotr Sapiezynski, Aleksandra Korolova, Alan Mislove, y Aaron Rieke. </w:t>
      </w:r>
      <w:r w:rsidR="00C942DB" w:rsidRPr="0073508F">
        <w:rPr>
          <w:lang w:val="en-GB"/>
        </w:rPr>
        <w:t xml:space="preserve">2021. «Ad Delivery Algorithms: The Hidden Arbiters of Political Messaging». </w:t>
      </w:r>
      <w:r w:rsidR="00C942DB" w:rsidRPr="00C942DB">
        <w:rPr>
          <w:i/>
          <w:iCs/>
          <w:lang w:val="en-GB"/>
        </w:rPr>
        <w:t>Proceedings of the 14th ACM International Conference on Web Search and Data Mining</w:t>
      </w:r>
      <w:r w:rsidR="00C942DB" w:rsidRPr="00C942DB">
        <w:rPr>
          <w:lang w:val="en-GB"/>
        </w:rPr>
        <w:t>, marzo 8, 13-21. https://doi.org/10.1145/3437963.3441801.</w:t>
      </w:r>
    </w:p>
    <w:p w14:paraId="52CF9D80" w14:textId="77777777" w:rsidR="00C942DB" w:rsidRPr="00C942DB" w:rsidRDefault="00C942DB" w:rsidP="00C942DB">
      <w:pPr>
        <w:pStyle w:val="Bibliografa"/>
        <w:rPr>
          <w:lang w:val="en-GB"/>
        </w:rPr>
      </w:pPr>
      <w:r>
        <w:t xml:space="preserve">Aruguete, Natalia, y Ernesto Calvo. </w:t>
      </w:r>
      <w:r w:rsidRPr="00C942DB">
        <w:rPr>
          <w:lang w:val="en-GB"/>
        </w:rPr>
        <w:t xml:space="preserve">2018. «Time to #Protest: Selective Exposure, Cascading Activation, and Framing in Social Media». </w:t>
      </w:r>
      <w:r w:rsidRPr="00C942DB">
        <w:rPr>
          <w:i/>
          <w:iCs/>
          <w:lang w:val="en-GB"/>
        </w:rPr>
        <w:t>Journal of Communication</w:t>
      </w:r>
      <w:r w:rsidRPr="00C942DB">
        <w:rPr>
          <w:lang w:val="en-GB"/>
        </w:rPr>
        <w:t xml:space="preserve"> 68 (3): 480-502. https://doi.org/10.1093/joc/jqy007.</w:t>
      </w:r>
    </w:p>
    <w:p w14:paraId="01DA086D" w14:textId="77777777" w:rsidR="00C942DB" w:rsidRPr="00C942DB" w:rsidRDefault="00C942DB" w:rsidP="00C942DB">
      <w:pPr>
        <w:pStyle w:val="Bibliografa"/>
        <w:rPr>
          <w:lang w:val="en-GB"/>
        </w:rPr>
      </w:pPr>
      <w:r w:rsidRPr="00C942DB">
        <w:rPr>
          <w:lang w:val="en-GB"/>
        </w:rPr>
        <w:t xml:space="preserve">Au, Cheuk Hang, Kevin K. W. Ho, y Dickson K.W. Chiu. 2022. «The Role of Online Misinformation and Fake News in Ideological Polarization: Barriers, Catalysts, and Implications». </w:t>
      </w:r>
      <w:r w:rsidRPr="00C942DB">
        <w:rPr>
          <w:i/>
          <w:iCs/>
          <w:lang w:val="en-GB"/>
        </w:rPr>
        <w:t>Information Systems Frontiers</w:t>
      </w:r>
      <w:r w:rsidRPr="00C942DB">
        <w:rPr>
          <w:lang w:val="en-GB"/>
        </w:rPr>
        <w:t xml:space="preserve"> 24 (4): 1331-54. https://doi.org/10.1007/s10796-021-10133-9.</w:t>
      </w:r>
    </w:p>
    <w:p w14:paraId="2481F7AB" w14:textId="77777777" w:rsidR="00C942DB" w:rsidRPr="00C942DB" w:rsidRDefault="00C942DB" w:rsidP="00C942DB">
      <w:pPr>
        <w:pStyle w:val="Bibliografa"/>
        <w:rPr>
          <w:lang w:val="en-GB"/>
        </w:rPr>
      </w:pPr>
      <w:r w:rsidRPr="00C942DB">
        <w:rPr>
          <w:lang w:val="en-GB"/>
        </w:rPr>
        <w:t xml:space="preserve">Baldwin-Philippi, Jessica. 2017. «The Myths of Data-Driven Campaigning». </w:t>
      </w:r>
      <w:r w:rsidRPr="00C942DB">
        <w:rPr>
          <w:i/>
          <w:iCs/>
          <w:lang w:val="en-GB"/>
        </w:rPr>
        <w:t>Political Communication</w:t>
      </w:r>
      <w:r w:rsidRPr="00C942DB">
        <w:rPr>
          <w:lang w:val="en-GB"/>
        </w:rPr>
        <w:t xml:space="preserve"> 34 (4): 627-33. https://doi.org/10.1080/10584609.2017.1372999.</w:t>
      </w:r>
    </w:p>
    <w:p w14:paraId="29072C33" w14:textId="77777777" w:rsidR="00C942DB" w:rsidRPr="00C942DB" w:rsidRDefault="00C942DB" w:rsidP="00C942DB">
      <w:pPr>
        <w:pStyle w:val="Bibliografa"/>
        <w:rPr>
          <w:lang w:val="en-GB"/>
        </w:rPr>
      </w:pPr>
      <w:r w:rsidRPr="00C942DB">
        <w:rPr>
          <w:lang w:val="en-GB"/>
        </w:rPr>
        <w:t xml:space="preserve">Baldwin-Philippi, Jessica. 2019. «Data Campaigning: Between Empirics and Assumptions». </w:t>
      </w:r>
      <w:r w:rsidRPr="00C942DB">
        <w:rPr>
          <w:i/>
          <w:iCs/>
          <w:lang w:val="en-GB"/>
        </w:rPr>
        <w:t>Internet Policy Review</w:t>
      </w:r>
      <w:r w:rsidRPr="00C942DB">
        <w:rPr>
          <w:lang w:val="en-GB"/>
        </w:rPr>
        <w:t xml:space="preserve"> 8 (4). https://doi.org/10.14763/2019.4.1437.</w:t>
      </w:r>
    </w:p>
    <w:p w14:paraId="1337592D" w14:textId="77777777" w:rsidR="00C942DB" w:rsidRPr="00C942DB" w:rsidRDefault="00C942DB" w:rsidP="00C942DB">
      <w:pPr>
        <w:pStyle w:val="Bibliografa"/>
        <w:rPr>
          <w:lang w:val="en-GB"/>
        </w:rPr>
      </w:pPr>
      <w:r w:rsidRPr="00C942DB">
        <w:rPr>
          <w:lang w:val="en-GB"/>
        </w:rPr>
        <w:t xml:space="preserve">Banerjee, Boudhayan. 2017. </w:t>
      </w:r>
      <w:r w:rsidRPr="00C942DB">
        <w:rPr>
          <w:i/>
          <w:iCs/>
          <w:lang w:val="en-GB"/>
        </w:rPr>
        <w:t>Machine Learning Models for Political Video Advertisement Classification</w:t>
      </w:r>
      <w:r w:rsidRPr="00C942DB">
        <w:rPr>
          <w:lang w:val="en-GB"/>
        </w:rPr>
        <w:t>. 0 ed. Iowa State University. https://doi.org/10.31274/cc-20240624-976.</w:t>
      </w:r>
    </w:p>
    <w:p w14:paraId="4D64D31C" w14:textId="77777777" w:rsidR="00C942DB" w:rsidRPr="00C942DB" w:rsidRDefault="00C942DB" w:rsidP="00C942DB">
      <w:pPr>
        <w:pStyle w:val="Bibliografa"/>
        <w:rPr>
          <w:lang w:val="en-GB"/>
        </w:rPr>
      </w:pPr>
      <w:r w:rsidRPr="00C942DB">
        <w:rPr>
          <w:lang w:val="en-GB"/>
        </w:rPr>
        <w:t xml:space="preserve">Barberá, Pablo, John T. Jost, Jonathan Nagler, Joshua A. Tucker, y Richard Bonneau. 2015. «Tweeting from left to right: Is online political communication more than an echo chamber?» </w:t>
      </w:r>
      <w:r w:rsidRPr="00C942DB">
        <w:rPr>
          <w:i/>
          <w:iCs/>
          <w:lang w:val="en-GB"/>
        </w:rPr>
        <w:t>Psychological Science</w:t>
      </w:r>
      <w:r w:rsidRPr="00C942DB">
        <w:rPr>
          <w:lang w:val="en-GB"/>
        </w:rPr>
        <w:t xml:space="preserve"> (US) 26 (10): 1531-42. https://doi.org/10.1177/0956797615594620.</w:t>
      </w:r>
    </w:p>
    <w:p w14:paraId="3003C91E" w14:textId="77777777" w:rsidR="00C942DB" w:rsidRPr="00C942DB" w:rsidRDefault="00C942DB" w:rsidP="00C942DB">
      <w:pPr>
        <w:pStyle w:val="Bibliografa"/>
        <w:rPr>
          <w:lang w:val="en-GB"/>
        </w:rPr>
      </w:pPr>
      <w:r w:rsidRPr="00C942DB">
        <w:rPr>
          <w:lang w:val="en-GB"/>
        </w:rPr>
        <w:t xml:space="preserve">Bayer, Judit. 2020. «Double Harm to Voters: Data-Driven Micro-Targeting and Democratic Public Discourse». </w:t>
      </w:r>
      <w:r w:rsidRPr="00C942DB">
        <w:rPr>
          <w:i/>
          <w:iCs/>
          <w:lang w:val="en-GB"/>
        </w:rPr>
        <w:t>Internet Policy Review</w:t>
      </w:r>
      <w:r w:rsidRPr="00C942DB">
        <w:rPr>
          <w:lang w:val="en-GB"/>
        </w:rPr>
        <w:t xml:space="preserve"> 9 (1). https://doi.org/10.14763/2020.1.1460.</w:t>
      </w:r>
    </w:p>
    <w:p w14:paraId="1C47459D" w14:textId="77777777" w:rsidR="00C942DB" w:rsidRPr="00C942DB" w:rsidRDefault="00C942DB" w:rsidP="00C942DB">
      <w:pPr>
        <w:pStyle w:val="Bibliografa"/>
        <w:rPr>
          <w:lang w:val="en-GB"/>
        </w:rPr>
      </w:pPr>
      <w:r w:rsidRPr="00C942DB">
        <w:rPr>
          <w:lang w:val="en-GB"/>
        </w:rPr>
        <w:t>Bennett, Colin, y Jesse Gordon. 2020. «Understanding the “Micro” in Micro-Targeting: An Analysis of Facebook Digital Advertising in the 2019 Federal Canadian Election». SSRN Scholarly Paper No. 3589687. Social Science Research Network, mayo 1. https://doi.org/10.2139/ssrn.3589687.</w:t>
      </w:r>
    </w:p>
    <w:p w14:paraId="754656F9" w14:textId="77777777" w:rsidR="00C942DB" w:rsidRPr="00C942DB" w:rsidRDefault="00C942DB" w:rsidP="00C942DB">
      <w:pPr>
        <w:pStyle w:val="Bibliografa"/>
        <w:rPr>
          <w:lang w:val="en-GB"/>
        </w:rPr>
      </w:pPr>
      <w:r w:rsidRPr="00C942DB">
        <w:rPr>
          <w:lang w:val="en-GB"/>
        </w:rPr>
        <w:t xml:space="preserve">Bode, Leticia. 2012. «Facebooking It to the Polls: A Study in Online Social Networking and Political Behavior». </w:t>
      </w:r>
      <w:r w:rsidRPr="00C942DB">
        <w:rPr>
          <w:i/>
          <w:iCs/>
          <w:lang w:val="en-GB"/>
        </w:rPr>
        <w:t>Journal of Information Technology &amp; Politics</w:t>
      </w:r>
      <w:r w:rsidRPr="00C942DB">
        <w:rPr>
          <w:lang w:val="en-GB"/>
        </w:rPr>
        <w:t xml:space="preserve"> 9 (4): 352-69. https://doi.org/10.1080/19331681.2012.709045.</w:t>
      </w:r>
    </w:p>
    <w:p w14:paraId="7A1A01A5" w14:textId="77777777" w:rsidR="0073508F" w:rsidRPr="00677470" w:rsidRDefault="00C942DB" w:rsidP="0073508F">
      <w:pPr>
        <w:pStyle w:val="Bibliografa"/>
        <w:rPr>
          <w:lang w:val="en-GB"/>
        </w:rPr>
      </w:pPr>
      <w:r w:rsidRPr="00C942DB">
        <w:rPr>
          <w:lang w:val="en-GB"/>
        </w:rPr>
        <w:t xml:space="preserve">Bon, Esmeralda, Katharine Dommett, Rachel Gibson, Sanne Kruikemeier, y Sophie Lecheler. 2024. </w:t>
      </w:r>
      <w:r w:rsidR="0073508F" w:rsidRPr="00677470">
        <w:rPr>
          <w:lang w:val="en-GB"/>
        </w:rPr>
        <w:t xml:space="preserve">Aruguete, Natalia, y Ernesto Calvo. 2018. «Time to #Protest: Selective Exposure, Cascading Activation, and Framing in Social Media». </w:t>
      </w:r>
      <w:r w:rsidR="0073508F" w:rsidRPr="00677470">
        <w:rPr>
          <w:i/>
          <w:iCs/>
          <w:lang w:val="en-GB"/>
        </w:rPr>
        <w:t>Journal of Communication</w:t>
      </w:r>
      <w:r w:rsidR="0073508F" w:rsidRPr="00677470">
        <w:rPr>
          <w:lang w:val="en-GB"/>
        </w:rPr>
        <w:t xml:space="preserve"> 68 (3): 480-502. </w:t>
      </w:r>
      <w:hyperlink r:id="rId25" w:history="1">
        <w:r w:rsidR="0073508F" w:rsidRPr="00677470">
          <w:rPr>
            <w:rStyle w:val="Hipervnculo"/>
            <w:lang w:val="en-GB"/>
          </w:rPr>
          <w:t>https://doi.org/10.1093/joc/jqy007</w:t>
        </w:r>
      </w:hyperlink>
      <w:r w:rsidR="0073508F" w:rsidRPr="00677470">
        <w:rPr>
          <w:lang w:val="en-GB"/>
        </w:rPr>
        <w:t>.</w:t>
      </w:r>
    </w:p>
    <w:p w14:paraId="52BE1AF7" w14:textId="77777777" w:rsidR="0073508F" w:rsidRPr="0073508F" w:rsidRDefault="0073508F" w:rsidP="0073508F">
      <w:pPr>
        <w:pStyle w:val="Bibliografa"/>
        <w:rPr>
          <w:lang w:val="en-GB"/>
        </w:rPr>
      </w:pPr>
      <w:r w:rsidRPr="0073508F">
        <w:rPr>
          <w:lang w:val="en-GB"/>
        </w:rPr>
        <w:lastRenderedPageBreak/>
        <w:t xml:space="preserve">Au, Cheuk Hang, Kevin K. W. Ho, y Dickson K.W. Chiu. 2022. «The Role of Online Misinformation and Fake News in Ideological Polarization: Barriers, Catalysts, and Implications». </w:t>
      </w:r>
      <w:r w:rsidRPr="0073508F">
        <w:rPr>
          <w:i/>
          <w:iCs/>
          <w:lang w:val="en-GB"/>
        </w:rPr>
        <w:t>Information Systems Frontiers</w:t>
      </w:r>
      <w:r w:rsidRPr="0073508F">
        <w:rPr>
          <w:lang w:val="en-GB"/>
        </w:rPr>
        <w:t xml:space="preserve"> 24 (4): 1331-54. </w:t>
      </w:r>
      <w:hyperlink r:id="rId26" w:history="1">
        <w:r w:rsidRPr="0073508F">
          <w:rPr>
            <w:rStyle w:val="Hipervnculo"/>
            <w:lang w:val="en-GB"/>
          </w:rPr>
          <w:t>https://doi.org/10.1007/s10796-021-10133-9</w:t>
        </w:r>
      </w:hyperlink>
      <w:r w:rsidRPr="0073508F">
        <w:rPr>
          <w:lang w:val="en-GB"/>
        </w:rPr>
        <w:t>.</w:t>
      </w:r>
    </w:p>
    <w:p w14:paraId="621D51AA" w14:textId="77777777" w:rsidR="0073508F" w:rsidRPr="0073508F" w:rsidRDefault="0073508F" w:rsidP="0073508F">
      <w:pPr>
        <w:pStyle w:val="Bibliografa"/>
        <w:rPr>
          <w:lang w:val="en-GB"/>
        </w:rPr>
      </w:pPr>
      <w:r w:rsidRPr="0073508F">
        <w:rPr>
          <w:lang w:val="en-GB"/>
        </w:rPr>
        <w:t xml:space="preserve">Baldwin-Philippi, Jessica. 2017. «The Myths of Data-Driven Campaigning». </w:t>
      </w:r>
      <w:r w:rsidRPr="0073508F">
        <w:rPr>
          <w:i/>
          <w:iCs/>
          <w:lang w:val="en-GB"/>
        </w:rPr>
        <w:t>Political Communication</w:t>
      </w:r>
      <w:r w:rsidRPr="0073508F">
        <w:rPr>
          <w:lang w:val="en-GB"/>
        </w:rPr>
        <w:t xml:space="preserve"> 34 (4): 627-33. </w:t>
      </w:r>
      <w:hyperlink r:id="rId27" w:history="1">
        <w:r w:rsidRPr="0073508F">
          <w:rPr>
            <w:rStyle w:val="Hipervnculo"/>
            <w:lang w:val="en-GB"/>
          </w:rPr>
          <w:t>https://doi.org/10.1080/10584609.2017.1372999</w:t>
        </w:r>
      </w:hyperlink>
      <w:r w:rsidRPr="0073508F">
        <w:rPr>
          <w:lang w:val="en-GB"/>
        </w:rPr>
        <w:t>.</w:t>
      </w:r>
    </w:p>
    <w:p w14:paraId="19D2E218" w14:textId="77777777" w:rsidR="0073508F" w:rsidRPr="0073508F" w:rsidRDefault="0073508F" w:rsidP="0073508F">
      <w:pPr>
        <w:pStyle w:val="Bibliografa"/>
        <w:rPr>
          <w:lang w:val="en-GB"/>
        </w:rPr>
      </w:pPr>
      <w:r w:rsidRPr="0073508F">
        <w:rPr>
          <w:lang w:val="en-GB"/>
        </w:rPr>
        <w:t xml:space="preserve">Baldwin-Philippi, Jessica. 2019. «Data Campaigning: Between Empirics and Assumptions». </w:t>
      </w:r>
      <w:r w:rsidRPr="0073508F">
        <w:rPr>
          <w:i/>
          <w:iCs/>
          <w:lang w:val="en-GB"/>
        </w:rPr>
        <w:t>Internet Policy Review</w:t>
      </w:r>
      <w:r w:rsidRPr="0073508F">
        <w:rPr>
          <w:lang w:val="en-GB"/>
        </w:rPr>
        <w:t xml:space="preserve"> 8 (4). </w:t>
      </w:r>
      <w:hyperlink r:id="rId28" w:history="1">
        <w:r w:rsidRPr="0073508F">
          <w:rPr>
            <w:rStyle w:val="Hipervnculo"/>
            <w:lang w:val="en-GB"/>
          </w:rPr>
          <w:t>https://doi.org/10.14763/2019.4.1437</w:t>
        </w:r>
      </w:hyperlink>
      <w:r w:rsidRPr="0073508F">
        <w:rPr>
          <w:lang w:val="en-GB"/>
        </w:rPr>
        <w:t>.</w:t>
      </w:r>
    </w:p>
    <w:p w14:paraId="4A386572" w14:textId="77777777" w:rsidR="0073508F" w:rsidRPr="0073508F" w:rsidRDefault="0073508F" w:rsidP="0073508F">
      <w:pPr>
        <w:pStyle w:val="Bibliografa"/>
        <w:rPr>
          <w:lang w:val="en-GB"/>
        </w:rPr>
      </w:pPr>
      <w:r w:rsidRPr="0073508F">
        <w:rPr>
          <w:lang w:val="en-GB"/>
        </w:rPr>
        <w:t xml:space="preserve">Banerjee, Boudhayan. 2017. </w:t>
      </w:r>
      <w:r w:rsidRPr="0073508F">
        <w:rPr>
          <w:i/>
          <w:iCs/>
          <w:lang w:val="en-GB"/>
        </w:rPr>
        <w:t>Machine Learning Models for Political Video Advertisement Classification</w:t>
      </w:r>
      <w:r w:rsidRPr="0073508F">
        <w:rPr>
          <w:lang w:val="en-GB"/>
        </w:rPr>
        <w:t xml:space="preserve">. 0 ed. Iowa State University. </w:t>
      </w:r>
      <w:hyperlink r:id="rId29" w:history="1">
        <w:r w:rsidRPr="0073508F">
          <w:rPr>
            <w:rStyle w:val="Hipervnculo"/>
            <w:lang w:val="en-GB"/>
          </w:rPr>
          <w:t>https://doi.org/10.31274/cc-20240624-976</w:t>
        </w:r>
      </w:hyperlink>
      <w:r w:rsidRPr="0073508F">
        <w:rPr>
          <w:lang w:val="en-GB"/>
        </w:rPr>
        <w:t>.</w:t>
      </w:r>
    </w:p>
    <w:p w14:paraId="70989F20" w14:textId="77777777" w:rsidR="0073508F" w:rsidRPr="0073508F" w:rsidRDefault="0073508F" w:rsidP="0073508F">
      <w:pPr>
        <w:pStyle w:val="Bibliografa"/>
      </w:pPr>
      <w:r w:rsidRPr="0073508F">
        <w:rPr>
          <w:lang w:val="en-GB"/>
        </w:rPr>
        <w:t xml:space="preserve">Barberá, Pablo, John T. Jost, Jonathan Nagler, Joshua A. Tucker, y Richard Bonneau. 2015. «Tweeting from left to right: Is online political communication more than an echo chamber?» </w:t>
      </w:r>
      <w:r w:rsidRPr="0073508F">
        <w:rPr>
          <w:i/>
          <w:iCs/>
        </w:rPr>
        <w:t>Psychological Science</w:t>
      </w:r>
      <w:r w:rsidRPr="0073508F">
        <w:t xml:space="preserve"> (US) 26 (10): 1531-42. </w:t>
      </w:r>
      <w:hyperlink r:id="rId30" w:history="1">
        <w:r w:rsidRPr="0073508F">
          <w:rPr>
            <w:rStyle w:val="Hipervnculo"/>
          </w:rPr>
          <w:t>https://doi.org/10.1177/0956797615594620</w:t>
        </w:r>
      </w:hyperlink>
      <w:r w:rsidRPr="0073508F">
        <w:t>.</w:t>
      </w:r>
    </w:p>
    <w:p w14:paraId="2A1D913A" w14:textId="77777777" w:rsidR="0073508F" w:rsidRPr="0073508F" w:rsidRDefault="0073508F" w:rsidP="0073508F">
      <w:pPr>
        <w:pStyle w:val="Bibliografa"/>
        <w:rPr>
          <w:lang w:val="en-GB"/>
        </w:rPr>
      </w:pPr>
      <w:r w:rsidRPr="0073508F">
        <w:t xml:space="preserve">Baviera, Tomás, Javier Sánchez-Junqueras, y Paolo Rosso. </w:t>
      </w:r>
      <w:r w:rsidRPr="0073508F">
        <w:rPr>
          <w:lang w:val="en-GB"/>
        </w:rPr>
        <w:t xml:space="preserve">2022. «Political advertising on social media: Issues sponsored on Facebook ads during the 2019 General Elections in Spain». </w:t>
      </w:r>
      <w:r w:rsidRPr="0073508F">
        <w:rPr>
          <w:i/>
          <w:iCs/>
          <w:lang w:val="en-GB"/>
        </w:rPr>
        <w:t>Communication &amp; Society</w:t>
      </w:r>
      <w:r w:rsidRPr="0073508F">
        <w:rPr>
          <w:lang w:val="en-GB"/>
        </w:rPr>
        <w:t xml:space="preserve"> 35 (3): 39-49. </w:t>
      </w:r>
      <w:hyperlink r:id="rId31" w:history="1">
        <w:r w:rsidRPr="0073508F">
          <w:rPr>
            <w:rStyle w:val="Hipervnculo"/>
            <w:lang w:val="en-GB"/>
          </w:rPr>
          <w:t>https://doi.org/10.15581/003.35.3.33-49</w:t>
        </w:r>
      </w:hyperlink>
      <w:r w:rsidRPr="0073508F">
        <w:rPr>
          <w:lang w:val="en-GB"/>
        </w:rPr>
        <w:t>.</w:t>
      </w:r>
    </w:p>
    <w:p w14:paraId="4B5928A0" w14:textId="77777777" w:rsidR="0073508F" w:rsidRPr="0073508F" w:rsidRDefault="0073508F" w:rsidP="0073508F">
      <w:pPr>
        <w:pStyle w:val="Bibliografa"/>
        <w:rPr>
          <w:lang w:val="en-GB"/>
        </w:rPr>
      </w:pPr>
      <w:r w:rsidRPr="0073508F">
        <w:rPr>
          <w:lang w:val="en-GB"/>
        </w:rPr>
        <w:t xml:space="preserve">Bayer, Judit. 2020. «Double Harm to Voters: Data-Driven Micro-Targeting and Democratic Public Discourse». </w:t>
      </w:r>
      <w:r w:rsidRPr="0073508F">
        <w:rPr>
          <w:i/>
          <w:iCs/>
          <w:lang w:val="en-GB"/>
        </w:rPr>
        <w:t>Internet Policy Review</w:t>
      </w:r>
      <w:r w:rsidRPr="0073508F">
        <w:rPr>
          <w:lang w:val="en-GB"/>
        </w:rPr>
        <w:t xml:space="preserve"> 9 (1). </w:t>
      </w:r>
      <w:hyperlink r:id="rId32" w:history="1">
        <w:r w:rsidRPr="0073508F">
          <w:rPr>
            <w:rStyle w:val="Hipervnculo"/>
            <w:lang w:val="en-GB"/>
          </w:rPr>
          <w:t>https://doi.org/10.14763/2020.1.1460</w:t>
        </w:r>
      </w:hyperlink>
      <w:r w:rsidRPr="0073508F">
        <w:rPr>
          <w:lang w:val="en-GB"/>
        </w:rPr>
        <w:t>.</w:t>
      </w:r>
    </w:p>
    <w:p w14:paraId="367851B3" w14:textId="77777777" w:rsidR="0073508F" w:rsidRPr="0073508F" w:rsidRDefault="0073508F" w:rsidP="0073508F">
      <w:pPr>
        <w:pStyle w:val="Bibliografa"/>
        <w:rPr>
          <w:lang w:val="en-GB"/>
        </w:rPr>
      </w:pPr>
      <w:r w:rsidRPr="0073508F">
        <w:rPr>
          <w:lang w:val="en-GB"/>
        </w:rPr>
        <w:t xml:space="preserve">Bennett, Colin, y Jesse Gordon. 2020. «Understanding the “Micro” in Micro-Targeting: An Analysis of Facebook Digital Advertising in the 2019 Federal Canadian Election». SSRN Scholarly Paper No. 3589687. Social Science Research Network, mayo 1. </w:t>
      </w:r>
      <w:hyperlink r:id="rId33" w:history="1">
        <w:r w:rsidRPr="0073508F">
          <w:rPr>
            <w:rStyle w:val="Hipervnculo"/>
            <w:lang w:val="en-GB"/>
          </w:rPr>
          <w:t>https://doi.org/10.2139/ssrn.3589687</w:t>
        </w:r>
      </w:hyperlink>
      <w:r w:rsidRPr="0073508F">
        <w:rPr>
          <w:lang w:val="en-GB"/>
        </w:rPr>
        <w:t>.</w:t>
      </w:r>
    </w:p>
    <w:p w14:paraId="40E3161F" w14:textId="77777777" w:rsidR="0073508F" w:rsidRPr="0073508F" w:rsidRDefault="0073508F" w:rsidP="0073508F">
      <w:pPr>
        <w:pStyle w:val="Bibliografa"/>
        <w:rPr>
          <w:lang w:val="en-GB"/>
        </w:rPr>
      </w:pPr>
      <w:r w:rsidRPr="0073508F">
        <w:rPr>
          <w:lang w:val="en-GB"/>
        </w:rPr>
        <w:t xml:space="preserve">Benoit, William L. 2001. «The Functional Approach to Presidential Television Spots: Acclaiming, Attacking, Defending 1952–2000». </w:t>
      </w:r>
      <w:r w:rsidRPr="0073508F">
        <w:rPr>
          <w:i/>
          <w:iCs/>
          <w:lang w:val="en-GB"/>
        </w:rPr>
        <w:t>Communication Studies</w:t>
      </w:r>
      <w:r w:rsidRPr="0073508F">
        <w:rPr>
          <w:lang w:val="en-GB"/>
        </w:rPr>
        <w:t xml:space="preserve"> 52 (2): 109-26. </w:t>
      </w:r>
      <w:hyperlink r:id="rId34" w:history="1">
        <w:r w:rsidRPr="0073508F">
          <w:rPr>
            <w:rStyle w:val="Hipervnculo"/>
            <w:lang w:val="en-GB"/>
          </w:rPr>
          <w:t>https://doi.org/10.1080/10510970109388546</w:t>
        </w:r>
      </w:hyperlink>
      <w:r w:rsidRPr="0073508F">
        <w:rPr>
          <w:lang w:val="en-GB"/>
        </w:rPr>
        <w:t>.</w:t>
      </w:r>
    </w:p>
    <w:p w14:paraId="62D471C9" w14:textId="77777777" w:rsidR="0073508F" w:rsidRPr="0073508F" w:rsidRDefault="0073508F" w:rsidP="0073508F">
      <w:pPr>
        <w:pStyle w:val="Bibliografa"/>
      </w:pPr>
      <w:r w:rsidRPr="0073508F">
        <w:rPr>
          <w:lang w:val="en-GB"/>
        </w:rPr>
        <w:t xml:space="preserve">Bode, Leticia. 2012. «Facebooking It to the Polls: A Study in Online Social Networking and Political Behavior». </w:t>
      </w:r>
      <w:r w:rsidRPr="0073508F">
        <w:rPr>
          <w:i/>
          <w:iCs/>
        </w:rPr>
        <w:t>Journal of Information Technology &amp; Politics</w:t>
      </w:r>
      <w:r w:rsidRPr="0073508F">
        <w:t xml:space="preserve"> 9 (4): 352-69. </w:t>
      </w:r>
      <w:hyperlink r:id="rId35" w:history="1">
        <w:r w:rsidRPr="0073508F">
          <w:rPr>
            <w:rStyle w:val="Hipervnculo"/>
          </w:rPr>
          <w:t>https://doi.org/10.1080/19331681.2012.709045</w:t>
        </w:r>
      </w:hyperlink>
      <w:r w:rsidRPr="0073508F">
        <w:t>.</w:t>
      </w:r>
    </w:p>
    <w:p w14:paraId="0B1E13A6" w14:textId="77777777" w:rsidR="0073508F" w:rsidRPr="0073508F" w:rsidRDefault="0073508F" w:rsidP="0073508F">
      <w:pPr>
        <w:pStyle w:val="Bibliografa"/>
      </w:pPr>
      <w:r w:rsidRPr="0073508F">
        <w:t xml:space="preserve">Bogliaccini, Juan Ariel, Ignacio Borba, Cecilia Giambruno, Martín Opertti, y Rafael Piñeiro. 2019. </w:t>
      </w:r>
      <w:r w:rsidRPr="0073508F">
        <w:rPr>
          <w:i/>
          <w:iCs/>
        </w:rPr>
        <w:t>Twittarquía: la política de las redes en Uruguay</w:t>
      </w:r>
      <w:r w:rsidRPr="0073508F">
        <w:t>. Ediciones Túnel.</w:t>
      </w:r>
    </w:p>
    <w:p w14:paraId="1BE482CD" w14:textId="77777777" w:rsidR="0073508F" w:rsidRPr="0073508F" w:rsidRDefault="0073508F" w:rsidP="0073508F">
      <w:pPr>
        <w:pStyle w:val="Bibliografa"/>
        <w:rPr>
          <w:lang w:val="en-GB"/>
        </w:rPr>
      </w:pPr>
      <w:r w:rsidRPr="0073508F">
        <w:t xml:space="preserve">Bojić, Ljubiša, Olga Zagovora, Asta Zelenkauskaite, et al. 2025. </w:t>
      </w:r>
      <w:r w:rsidRPr="0073508F">
        <w:rPr>
          <w:lang w:val="en-GB"/>
        </w:rPr>
        <w:t xml:space="preserve">«Comparing Large Language Models and Human Annotators in Latent Content Analysis of Sentiment, Political Leaning, Emotional Intensity and Sarcasm». </w:t>
      </w:r>
      <w:r w:rsidRPr="0073508F">
        <w:rPr>
          <w:i/>
          <w:iCs/>
          <w:lang w:val="en-GB"/>
        </w:rPr>
        <w:t>Scientific Reports</w:t>
      </w:r>
      <w:r w:rsidRPr="0073508F">
        <w:rPr>
          <w:lang w:val="en-GB"/>
        </w:rPr>
        <w:t xml:space="preserve"> 15 (1): 11477. </w:t>
      </w:r>
      <w:hyperlink r:id="rId36" w:history="1">
        <w:r w:rsidRPr="0073508F">
          <w:rPr>
            <w:rStyle w:val="Hipervnculo"/>
            <w:lang w:val="en-GB"/>
          </w:rPr>
          <w:t>https://doi.org/10.1038/s41598-025-96508-3</w:t>
        </w:r>
      </w:hyperlink>
      <w:r w:rsidRPr="0073508F">
        <w:rPr>
          <w:lang w:val="en-GB"/>
        </w:rPr>
        <w:t>.</w:t>
      </w:r>
    </w:p>
    <w:p w14:paraId="287AAE7E" w14:textId="77777777" w:rsidR="0073508F" w:rsidRPr="0073508F" w:rsidRDefault="0073508F" w:rsidP="0073508F">
      <w:pPr>
        <w:pStyle w:val="Bibliografa"/>
        <w:rPr>
          <w:lang w:val="en-GB"/>
        </w:rPr>
      </w:pPr>
      <w:r w:rsidRPr="0073508F">
        <w:rPr>
          <w:lang w:val="en-GB"/>
        </w:rPr>
        <w:lastRenderedPageBreak/>
        <w:t xml:space="preserve">Bon, Esmeralda, Katharine Dommett, Rachel Gibson, Sanne Kruikemeier, y Sophie Lecheler. 2024. «Are Certain Types of Microtargeting More Acceptable? Comparing US, German, and Dutch Citizens’ Attitudes». </w:t>
      </w:r>
      <w:r w:rsidRPr="0073508F">
        <w:rPr>
          <w:i/>
          <w:iCs/>
          <w:lang w:val="en-GB"/>
        </w:rPr>
        <w:t>Media and Communication</w:t>
      </w:r>
      <w:r w:rsidRPr="0073508F">
        <w:rPr>
          <w:lang w:val="en-GB"/>
        </w:rPr>
        <w:t xml:space="preserve"> 12 (octubre): 8520. </w:t>
      </w:r>
      <w:hyperlink r:id="rId37" w:history="1">
        <w:r w:rsidRPr="0073508F">
          <w:rPr>
            <w:rStyle w:val="Hipervnculo"/>
            <w:lang w:val="en-GB"/>
          </w:rPr>
          <w:t>https://doi.org/10.17645/mac.8520</w:t>
        </w:r>
      </w:hyperlink>
      <w:r w:rsidRPr="0073508F">
        <w:rPr>
          <w:lang w:val="en-GB"/>
        </w:rPr>
        <w:t>.</w:t>
      </w:r>
    </w:p>
    <w:p w14:paraId="0584DE36" w14:textId="77777777" w:rsidR="0073508F" w:rsidRPr="0073508F" w:rsidRDefault="0073508F" w:rsidP="0073508F">
      <w:pPr>
        <w:pStyle w:val="Bibliografa"/>
        <w:rPr>
          <w:lang w:val="en-GB"/>
        </w:rPr>
      </w:pPr>
      <w:r w:rsidRPr="0073508F">
        <w:rPr>
          <w:lang w:val="en-GB"/>
        </w:rPr>
        <w:t xml:space="preserve">Bosley, Mitchell, Musashi Jacobs-Harukawa, Hauke Licht, y Alexander Hoyle. 2023. </w:t>
      </w:r>
      <w:r w:rsidRPr="0073508F">
        <w:rPr>
          <w:i/>
          <w:iCs/>
          <w:lang w:val="en-GB"/>
        </w:rPr>
        <w:t>Do We Still Need BERT in the Age of GPT? Comparing the Benefits of Domain-Adaptation and in-Context-Learning Approaches to Using LLMs for Political Science Research</w:t>
      </w:r>
      <w:r w:rsidRPr="0073508F">
        <w:rPr>
          <w:lang w:val="en-GB"/>
        </w:rPr>
        <w:t>.</w:t>
      </w:r>
    </w:p>
    <w:p w14:paraId="554D6734" w14:textId="77777777" w:rsidR="0073508F" w:rsidRPr="0073508F" w:rsidRDefault="0073508F" w:rsidP="0073508F">
      <w:pPr>
        <w:pStyle w:val="Bibliografa"/>
      </w:pPr>
      <w:r w:rsidRPr="0073508F">
        <w:rPr>
          <w:lang w:val="en-GB"/>
        </w:rPr>
        <w:t xml:space="preserve">Bossetta, Michael, y Rasmus Schmøkel. 2023. «Cross-Platform Emotions and Audience Engagement in Social Media Political Campaigning: Comparing Candidates’ Facebook and Instagram Images in the 2020 US Election». </w:t>
      </w:r>
      <w:r w:rsidRPr="0073508F">
        <w:rPr>
          <w:i/>
          <w:iCs/>
        </w:rPr>
        <w:t>Political Communication</w:t>
      </w:r>
      <w:r w:rsidRPr="0073508F">
        <w:t xml:space="preserve"> 40 (1): 48-68. </w:t>
      </w:r>
      <w:hyperlink r:id="rId38" w:history="1">
        <w:r w:rsidRPr="0073508F">
          <w:rPr>
            <w:rStyle w:val="Hipervnculo"/>
          </w:rPr>
          <w:t>https://doi.org/10.1080/10584609.2022.2128949</w:t>
        </w:r>
      </w:hyperlink>
      <w:r w:rsidRPr="0073508F">
        <w:t>.</w:t>
      </w:r>
    </w:p>
    <w:p w14:paraId="157D0877" w14:textId="77777777" w:rsidR="0073508F" w:rsidRPr="0073508F" w:rsidRDefault="0073508F" w:rsidP="0073508F">
      <w:pPr>
        <w:pStyle w:val="Bibliografa"/>
        <w:rPr>
          <w:lang w:val="en-GB"/>
        </w:rPr>
      </w:pPr>
      <w:r w:rsidRPr="0073508F">
        <w:t xml:space="preserve">Buquet, Daniel, y Rafael Piñeiro. 2011. «Participación Electoral En Las Elecciones Primarias En Uruguay». </w:t>
      </w:r>
      <w:r w:rsidRPr="0073508F">
        <w:rPr>
          <w:i/>
          <w:iCs/>
          <w:lang w:val="en-GB"/>
        </w:rPr>
        <w:t>Revista Debates</w:t>
      </w:r>
      <w:r w:rsidRPr="0073508F">
        <w:rPr>
          <w:lang w:val="en-GB"/>
        </w:rPr>
        <w:t xml:space="preserve"> 5 (2): 79-79. </w:t>
      </w:r>
      <w:hyperlink r:id="rId39" w:history="1">
        <w:r w:rsidRPr="0073508F">
          <w:rPr>
            <w:rStyle w:val="Hipervnculo"/>
            <w:lang w:val="en-GB"/>
          </w:rPr>
          <w:t>https://doi.org/10.22456/1982-5269.22615</w:t>
        </w:r>
      </w:hyperlink>
      <w:r w:rsidRPr="0073508F">
        <w:rPr>
          <w:lang w:val="en-GB"/>
        </w:rPr>
        <w:t>.</w:t>
      </w:r>
    </w:p>
    <w:p w14:paraId="78BA7726" w14:textId="77777777" w:rsidR="0073508F" w:rsidRPr="0073508F" w:rsidRDefault="0073508F" w:rsidP="0073508F">
      <w:pPr>
        <w:pStyle w:val="Bibliografa"/>
        <w:rPr>
          <w:lang w:val="en-GB"/>
        </w:rPr>
      </w:pPr>
      <w:r w:rsidRPr="0073508F">
        <w:rPr>
          <w:lang w:val="en-GB"/>
        </w:rPr>
        <w:t xml:space="preserve">Chae, Youngjin, y Thomas Davidson. 2025. </w:t>
      </w:r>
      <w:r w:rsidRPr="0073508F">
        <w:rPr>
          <w:i/>
          <w:iCs/>
          <w:lang w:val="en-GB"/>
        </w:rPr>
        <w:t>Large Language Models for Text Classification: From Zero-Shot Learning to Instruction-Tuning</w:t>
      </w:r>
      <w:r w:rsidRPr="0073508F">
        <w:rPr>
          <w:lang w:val="en-GB"/>
        </w:rPr>
        <w:t>.</w:t>
      </w:r>
    </w:p>
    <w:p w14:paraId="2479D64E" w14:textId="77777777" w:rsidR="0073508F" w:rsidRPr="0073508F" w:rsidRDefault="0073508F" w:rsidP="0073508F">
      <w:pPr>
        <w:pStyle w:val="Bibliografa"/>
        <w:rPr>
          <w:lang w:val="en-GB"/>
        </w:rPr>
      </w:pPr>
      <w:r w:rsidRPr="0073508F">
        <w:t xml:space="preserve">Coelho, Patricia M.F., Pedro A.P. Correia, y Irene Garcia Medina. </w:t>
      </w:r>
      <w:r w:rsidRPr="0073508F">
        <w:rPr>
          <w:lang w:val="en-GB"/>
        </w:rPr>
        <w:t xml:space="preserve">2017. «Social media: a new way of public and political communication in digital media». </w:t>
      </w:r>
      <w:r w:rsidRPr="0073508F">
        <w:rPr>
          <w:i/>
          <w:iCs/>
          <w:lang w:val="en-GB"/>
        </w:rPr>
        <w:t>International Journal of Interactive Mobile Technologies</w:t>
      </w:r>
      <w:r w:rsidRPr="0073508F">
        <w:rPr>
          <w:lang w:val="en-GB"/>
        </w:rPr>
        <w:t xml:space="preserve"> 11 (6): 150-57. </w:t>
      </w:r>
      <w:hyperlink r:id="rId40" w:history="1">
        <w:r w:rsidRPr="0073508F">
          <w:rPr>
            <w:rStyle w:val="Hipervnculo"/>
            <w:lang w:val="en-GB"/>
          </w:rPr>
          <w:t>https://doi.org/10.3991/ijim.v11i6.6876</w:t>
        </w:r>
      </w:hyperlink>
      <w:r w:rsidRPr="0073508F">
        <w:rPr>
          <w:lang w:val="en-GB"/>
        </w:rPr>
        <w:t>.</w:t>
      </w:r>
    </w:p>
    <w:p w14:paraId="711F3E95" w14:textId="77777777" w:rsidR="0073508F" w:rsidRPr="0073508F" w:rsidRDefault="0073508F" w:rsidP="0073508F">
      <w:pPr>
        <w:pStyle w:val="Bibliografa"/>
        <w:rPr>
          <w:lang w:val="en-GB"/>
        </w:rPr>
      </w:pPr>
      <w:r w:rsidRPr="0073508F">
        <w:rPr>
          <w:lang w:val="en-GB"/>
        </w:rPr>
        <w:t xml:space="preserve">Conroy, Meredith, Jessica T. Feezell, y Mario Guerrero. 2012. «Facebook and political engagement: A study of online political group membership and offline political engagement». </w:t>
      </w:r>
      <w:r w:rsidRPr="0073508F">
        <w:rPr>
          <w:i/>
          <w:iCs/>
          <w:lang w:val="en-GB"/>
        </w:rPr>
        <w:t>Computers in Human Behavior</w:t>
      </w:r>
      <w:r w:rsidRPr="0073508F">
        <w:rPr>
          <w:lang w:val="en-GB"/>
        </w:rPr>
        <w:t xml:space="preserve"> 28 (5): 1535-46. </w:t>
      </w:r>
      <w:hyperlink r:id="rId41" w:history="1">
        <w:r w:rsidRPr="0073508F">
          <w:rPr>
            <w:rStyle w:val="Hipervnculo"/>
            <w:lang w:val="en-GB"/>
          </w:rPr>
          <w:t>https://doi.org/10.1016/j.chb.2012.03.012</w:t>
        </w:r>
      </w:hyperlink>
      <w:r w:rsidRPr="0073508F">
        <w:rPr>
          <w:lang w:val="en-GB"/>
        </w:rPr>
        <w:t>.</w:t>
      </w:r>
    </w:p>
    <w:p w14:paraId="56B0C892" w14:textId="77777777" w:rsidR="0073508F" w:rsidRPr="0073508F" w:rsidRDefault="0073508F" w:rsidP="0073508F">
      <w:pPr>
        <w:pStyle w:val="Bibliografa"/>
        <w:rPr>
          <w:lang w:val="en-GB"/>
        </w:rPr>
      </w:pPr>
      <w:r w:rsidRPr="0073508F">
        <w:rPr>
          <w:lang w:val="en-GB"/>
        </w:rPr>
        <w:t xml:space="preserve">D’Alessio, Dave. 1997. «Use of the World Wide Web in the 1996 US Election». </w:t>
      </w:r>
      <w:r w:rsidRPr="0073508F">
        <w:rPr>
          <w:i/>
          <w:iCs/>
          <w:lang w:val="en-GB"/>
        </w:rPr>
        <w:t>Electoral Studies</w:t>
      </w:r>
      <w:r w:rsidRPr="0073508F">
        <w:rPr>
          <w:lang w:val="en-GB"/>
        </w:rPr>
        <w:t xml:space="preserve"> 16 (4): 489-500. </w:t>
      </w:r>
      <w:hyperlink r:id="rId42" w:history="1">
        <w:r w:rsidRPr="0073508F">
          <w:rPr>
            <w:rStyle w:val="Hipervnculo"/>
            <w:lang w:val="en-GB"/>
          </w:rPr>
          <w:t>https://doi.org/10.1016/S0261-3794(97)00044-9</w:t>
        </w:r>
      </w:hyperlink>
      <w:r w:rsidRPr="0073508F">
        <w:rPr>
          <w:lang w:val="en-GB"/>
        </w:rPr>
        <w:t>.</w:t>
      </w:r>
    </w:p>
    <w:p w14:paraId="570B7F5A" w14:textId="77777777" w:rsidR="0073508F" w:rsidRPr="0073508F" w:rsidRDefault="0073508F" w:rsidP="0073508F">
      <w:pPr>
        <w:pStyle w:val="Bibliografa"/>
        <w:rPr>
          <w:lang w:val="en-GB"/>
        </w:rPr>
      </w:pPr>
      <w:r w:rsidRPr="0073508F">
        <w:rPr>
          <w:lang w:val="en-GB"/>
        </w:rPr>
        <w:t xml:space="preserve">Denton, Robert E., Ben Voth, Judith S. Trent, y Robert V. Friedenberg. 2008. </w:t>
      </w:r>
      <w:r w:rsidRPr="0073508F">
        <w:rPr>
          <w:i/>
          <w:iCs/>
          <w:lang w:val="en-GB"/>
        </w:rPr>
        <w:t>Political Campaign Communication: Principles and Practices</w:t>
      </w:r>
      <w:r w:rsidRPr="0073508F">
        <w:rPr>
          <w:lang w:val="en-GB"/>
        </w:rPr>
        <w:t>. Sixth edition. Communication, Media, and Politics. Rowman &amp; Littlefield.</w:t>
      </w:r>
    </w:p>
    <w:p w14:paraId="6F217244" w14:textId="77777777" w:rsidR="0073508F" w:rsidRPr="009B118F" w:rsidRDefault="0073508F" w:rsidP="0073508F">
      <w:pPr>
        <w:pStyle w:val="Bibliografa"/>
        <w:rPr>
          <w:lang w:val="en-US"/>
        </w:rPr>
      </w:pPr>
      <w:r w:rsidRPr="0073508F">
        <w:rPr>
          <w:lang w:val="en-GB"/>
        </w:rPr>
        <w:t xml:space="preserve">Devlin, Jacob, Ming-Wei Chang, Kenton Lee, y Kristina Toutanova. 2019. «BERT: Pre-training of Deep Bidirectional Transformers for Language Understanding». En </w:t>
      </w:r>
      <w:r w:rsidRPr="0073508F">
        <w:rPr>
          <w:i/>
          <w:iCs/>
          <w:lang w:val="en-GB"/>
        </w:rPr>
        <w:t>Proceedings of the 2019 Conference of the North American Chapter of the Association for Computational Linguistics: Human Language Technologies, Volume 1 (Long and Short Papers)</w:t>
      </w:r>
      <w:r w:rsidRPr="0073508F">
        <w:rPr>
          <w:lang w:val="en-GB"/>
        </w:rPr>
        <w:t xml:space="preserve">, editado por Jill Burstein, Christy Doran, y Thamar Solorio. </w:t>
      </w:r>
      <w:r w:rsidRPr="009B118F">
        <w:rPr>
          <w:lang w:val="en-US"/>
        </w:rPr>
        <w:t xml:space="preserve">Association for Computational Linguistics. </w:t>
      </w:r>
      <w:hyperlink r:id="rId43" w:history="1">
        <w:r w:rsidRPr="009B118F">
          <w:rPr>
            <w:rStyle w:val="Hipervnculo"/>
            <w:lang w:val="en-US"/>
          </w:rPr>
          <w:t>https://doi.org/10.18653/v1/N19-1423</w:t>
        </w:r>
      </w:hyperlink>
      <w:r w:rsidRPr="009B118F">
        <w:rPr>
          <w:lang w:val="en-US"/>
        </w:rPr>
        <w:t>.</w:t>
      </w:r>
    </w:p>
    <w:p w14:paraId="71297AFC" w14:textId="77777777" w:rsidR="0073508F" w:rsidRPr="0073508F" w:rsidRDefault="0073508F" w:rsidP="0073508F">
      <w:pPr>
        <w:pStyle w:val="Bibliografa"/>
        <w:rPr>
          <w:lang w:val="en-GB"/>
        </w:rPr>
      </w:pPr>
      <w:r w:rsidRPr="009B118F">
        <w:rPr>
          <w:lang w:val="en-US"/>
        </w:rPr>
        <w:t xml:space="preserve">Dobber, T., y C. de Vreese. </w:t>
      </w:r>
      <w:r w:rsidRPr="0073508F">
        <w:rPr>
          <w:lang w:val="en-GB"/>
        </w:rPr>
        <w:t xml:space="preserve">2022. «Beyond Manifestos: Exploring How Political Campaigns Use Online Advertisements to Communicate Policy Information and Pledges». </w:t>
      </w:r>
      <w:r w:rsidRPr="0073508F">
        <w:rPr>
          <w:i/>
          <w:iCs/>
          <w:lang w:val="en-GB"/>
        </w:rPr>
        <w:t>Big Data &amp; Society</w:t>
      </w:r>
      <w:r w:rsidRPr="0073508F">
        <w:rPr>
          <w:lang w:val="en-GB"/>
        </w:rPr>
        <w:t xml:space="preserve"> 9. </w:t>
      </w:r>
      <w:hyperlink r:id="rId44" w:history="1">
        <w:r w:rsidRPr="0073508F">
          <w:rPr>
            <w:rStyle w:val="Hipervnculo"/>
            <w:lang w:val="en-GB"/>
          </w:rPr>
          <w:t>https://doi.org/10.1177/20539517221095433</w:t>
        </w:r>
      </w:hyperlink>
      <w:r w:rsidRPr="0073508F">
        <w:rPr>
          <w:lang w:val="en-GB"/>
        </w:rPr>
        <w:t>.</w:t>
      </w:r>
    </w:p>
    <w:p w14:paraId="5F5FFF1F" w14:textId="77777777" w:rsidR="0073508F" w:rsidRPr="0073508F" w:rsidRDefault="0073508F" w:rsidP="0073508F">
      <w:pPr>
        <w:pStyle w:val="Bibliografa"/>
        <w:rPr>
          <w:lang w:val="en-GB"/>
        </w:rPr>
      </w:pPr>
      <w:r w:rsidRPr="0073508F">
        <w:rPr>
          <w:lang w:val="en-GB"/>
        </w:rPr>
        <w:lastRenderedPageBreak/>
        <w:t xml:space="preserve">Dommett, Katharine, y Sam Power. 2019. «The Political Economy of Facebook Advertising: Election Spending, Regulation and Targeting Online». </w:t>
      </w:r>
      <w:r w:rsidRPr="0073508F">
        <w:rPr>
          <w:i/>
          <w:iCs/>
          <w:lang w:val="en-GB"/>
        </w:rPr>
        <w:t>The Political Quarterly</w:t>
      </w:r>
      <w:r w:rsidRPr="0073508F">
        <w:rPr>
          <w:lang w:val="en-GB"/>
        </w:rPr>
        <w:t xml:space="preserve"> 90 (2): 257-65. </w:t>
      </w:r>
      <w:hyperlink r:id="rId45" w:history="1">
        <w:r w:rsidRPr="0073508F">
          <w:rPr>
            <w:rStyle w:val="Hipervnculo"/>
            <w:lang w:val="en-GB"/>
          </w:rPr>
          <w:t>https://doi.org/10.1111/1467-923X.12687</w:t>
        </w:r>
      </w:hyperlink>
      <w:r w:rsidRPr="0073508F">
        <w:rPr>
          <w:lang w:val="en-GB"/>
        </w:rPr>
        <w:t>.</w:t>
      </w:r>
    </w:p>
    <w:p w14:paraId="00CB1F8F" w14:textId="77777777" w:rsidR="0073508F" w:rsidRPr="0073508F" w:rsidRDefault="0073508F" w:rsidP="0073508F">
      <w:pPr>
        <w:pStyle w:val="Bibliografa"/>
        <w:rPr>
          <w:lang w:val="en-GB"/>
        </w:rPr>
      </w:pPr>
      <w:r w:rsidRPr="0073508F">
        <w:rPr>
          <w:lang w:val="en-GB"/>
        </w:rPr>
        <w:t xml:space="preserve">Edwards, Aleksandra, y Jose Camacho-Collados. 2024. «Language Models for Text Classification: Is In-Context Learning Enough?» arXiv:2403.17661. Preprint, arXiv, abril 14. </w:t>
      </w:r>
      <w:hyperlink r:id="rId46" w:history="1">
        <w:r w:rsidRPr="0073508F">
          <w:rPr>
            <w:rStyle w:val="Hipervnculo"/>
            <w:lang w:val="en-GB"/>
          </w:rPr>
          <w:t>https://doi.org/10.48550/arXiv.2403.17661</w:t>
        </w:r>
      </w:hyperlink>
      <w:r w:rsidRPr="0073508F">
        <w:rPr>
          <w:lang w:val="en-GB"/>
        </w:rPr>
        <w:t>.</w:t>
      </w:r>
    </w:p>
    <w:p w14:paraId="0B865585" w14:textId="77777777" w:rsidR="0073508F" w:rsidRPr="0073508F" w:rsidRDefault="0073508F" w:rsidP="0073508F">
      <w:pPr>
        <w:pStyle w:val="Bibliografa"/>
        <w:rPr>
          <w:lang w:val="en-GB"/>
        </w:rPr>
      </w:pPr>
      <w:r w:rsidRPr="0073508F">
        <w:rPr>
          <w:lang w:val="en-GB"/>
        </w:rPr>
        <w:t xml:space="preserve">Enli, Gunn Sara, y Eli Skogerbø. 2013. «Personalized Campaigns in Party-Centred Politics: Twitter and Facebook as Arenas for Political Communication». </w:t>
      </w:r>
      <w:r w:rsidRPr="0073508F">
        <w:rPr>
          <w:i/>
          <w:iCs/>
          <w:lang w:val="en-GB"/>
        </w:rPr>
        <w:t>Information, Communication &amp; Society</w:t>
      </w:r>
      <w:r w:rsidRPr="0073508F">
        <w:rPr>
          <w:lang w:val="en-GB"/>
        </w:rPr>
        <w:t xml:space="preserve"> 16 (5): 757-74. </w:t>
      </w:r>
      <w:hyperlink r:id="rId47" w:history="1">
        <w:r w:rsidRPr="0073508F">
          <w:rPr>
            <w:rStyle w:val="Hipervnculo"/>
            <w:lang w:val="en-GB"/>
          </w:rPr>
          <w:t>https://doi.org/10.1080/1369118x.2013.782330</w:t>
        </w:r>
      </w:hyperlink>
      <w:r w:rsidRPr="0073508F">
        <w:rPr>
          <w:lang w:val="en-GB"/>
        </w:rPr>
        <w:t>.</w:t>
      </w:r>
    </w:p>
    <w:p w14:paraId="3B8B7502" w14:textId="77777777" w:rsidR="0073508F" w:rsidRPr="0073508F" w:rsidRDefault="0073508F" w:rsidP="0073508F">
      <w:pPr>
        <w:pStyle w:val="Bibliografa"/>
      </w:pPr>
      <w:r w:rsidRPr="0073508F">
        <w:rPr>
          <w:lang w:val="en-GB"/>
        </w:rPr>
        <w:t xml:space="preserve">Ennser-Jedenastik, Laurenz, Christina Gahn, Anita Bodlos, y Martin Haselmayer. 2022. «Does Social Media Enhance Party Responsiveness? How User Engagement Shapes Parties’ Issue Attention on Facebook». </w:t>
      </w:r>
      <w:r w:rsidRPr="0073508F">
        <w:rPr>
          <w:i/>
          <w:iCs/>
        </w:rPr>
        <w:t>Party Politics</w:t>
      </w:r>
      <w:r w:rsidRPr="0073508F">
        <w:t xml:space="preserve"> 28 (3): 468-81. </w:t>
      </w:r>
      <w:hyperlink r:id="rId48" w:history="1">
        <w:r w:rsidRPr="0073508F">
          <w:rPr>
            <w:rStyle w:val="Hipervnculo"/>
          </w:rPr>
          <w:t>https://doi.org/10.1177/1354068820985334</w:t>
        </w:r>
      </w:hyperlink>
      <w:r w:rsidRPr="0073508F">
        <w:t>.</w:t>
      </w:r>
    </w:p>
    <w:p w14:paraId="70149AB6" w14:textId="77777777" w:rsidR="0073508F" w:rsidRPr="0073508F" w:rsidRDefault="0073508F" w:rsidP="0073508F">
      <w:pPr>
        <w:pStyle w:val="Bibliografa"/>
        <w:rPr>
          <w:lang w:val="en-GB"/>
        </w:rPr>
      </w:pPr>
      <w:r w:rsidRPr="0073508F">
        <w:t xml:space="preserve">Filevich, Juan Pablo, Gonzalo Marco, Santiago Castro, Luis Chiruzzo, y Aiala Rosá. 2024. </w:t>
      </w:r>
      <w:r w:rsidRPr="0073508F">
        <w:rPr>
          <w:lang w:val="en-GB"/>
        </w:rPr>
        <w:t xml:space="preserve">«A Language Model Trained on Uruguayan Spanish News Text». En </w:t>
      </w:r>
      <w:r w:rsidRPr="0073508F">
        <w:rPr>
          <w:i/>
          <w:iCs/>
          <w:lang w:val="en-GB"/>
        </w:rPr>
        <w:t>Proceedings of the Second International Workshop Towards Digital Language Equality (TDLE): Focusing on Sustainability @ LREC-COLING 2024</w:t>
      </w:r>
      <w:r w:rsidRPr="0073508F">
        <w:rPr>
          <w:lang w:val="en-GB"/>
        </w:rPr>
        <w:t xml:space="preserve">, editado por Federico Gaspari, Joss Moorkens, Itziar Aldabe, et al. ELRA and ICCL. </w:t>
      </w:r>
      <w:hyperlink r:id="rId49" w:history="1">
        <w:r w:rsidRPr="0073508F">
          <w:rPr>
            <w:rStyle w:val="Hipervnculo"/>
            <w:lang w:val="en-GB"/>
          </w:rPr>
          <w:t>https://aclanthology.org/2024.tdle-1.5/</w:t>
        </w:r>
      </w:hyperlink>
      <w:r w:rsidRPr="0073508F">
        <w:rPr>
          <w:lang w:val="en-GB"/>
        </w:rPr>
        <w:t>.</w:t>
      </w:r>
    </w:p>
    <w:p w14:paraId="61803D7D" w14:textId="77777777" w:rsidR="0073508F" w:rsidRPr="0073508F" w:rsidRDefault="0073508F" w:rsidP="0073508F">
      <w:pPr>
        <w:pStyle w:val="Bibliografa"/>
        <w:rPr>
          <w:lang w:val="en-GB"/>
        </w:rPr>
      </w:pPr>
      <w:r w:rsidRPr="0073508F">
        <w:rPr>
          <w:lang w:val="en-GB"/>
        </w:rPr>
        <w:t xml:space="preserve">Fowler, Erika Franklin, Michael M. Franz, Gregory J. Martin, Zachary Peskowitz, y Travis N. Ridout. 2021. «Political Advertising Online and Offline». </w:t>
      </w:r>
      <w:r w:rsidRPr="0073508F">
        <w:rPr>
          <w:i/>
          <w:iCs/>
          <w:lang w:val="en-GB"/>
        </w:rPr>
        <w:t>American Political Science Review</w:t>
      </w:r>
      <w:r w:rsidRPr="0073508F">
        <w:rPr>
          <w:lang w:val="en-GB"/>
        </w:rPr>
        <w:t xml:space="preserve"> 115 (1): 130-49. </w:t>
      </w:r>
      <w:hyperlink r:id="rId50" w:history="1">
        <w:r w:rsidRPr="0073508F">
          <w:rPr>
            <w:rStyle w:val="Hipervnculo"/>
            <w:lang w:val="en-GB"/>
          </w:rPr>
          <w:t>https://doi.org/10.1017/S0003055420000696</w:t>
        </w:r>
      </w:hyperlink>
      <w:r w:rsidRPr="0073508F">
        <w:rPr>
          <w:lang w:val="en-GB"/>
        </w:rPr>
        <w:t>.</w:t>
      </w:r>
    </w:p>
    <w:p w14:paraId="0FC3CA8A" w14:textId="77777777" w:rsidR="0073508F" w:rsidRPr="0073508F" w:rsidRDefault="0073508F" w:rsidP="0073508F">
      <w:pPr>
        <w:pStyle w:val="Bibliografa"/>
        <w:rPr>
          <w:lang w:val="en-GB"/>
        </w:rPr>
      </w:pPr>
      <w:r w:rsidRPr="0073508F">
        <w:rPr>
          <w:lang w:val="en-GB"/>
        </w:rPr>
        <w:t xml:space="preserve">Gainous, Jason, y Kevin M. Wagner. 2014. </w:t>
      </w:r>
      <w:r w:rsidRPr="0073508F">
        <w:rPr>
          <w:i/>
          <w:iCs/>
          <w:lang w:val="en-GB"/>
        </w:rPr>
        <w:t>Tweeting to Power: The Social Media Revolution in American Politics</w:t>
      </w:r>
      <w:r w:rsidRPr="0073508F">
        <w:rPr>
          <w:lang w:val="en-GB"/>
        </w:rPr>
        <w:t xml:space="preserve">. Oxford Studies in Digital Politics. Oxford Univ. Press. </w:t>
      </w:r>
      <w:hyperlink r:id="rId51" w:history="1">
        <w:r w:rsidRPr="0073508F">
          <w:rPr>
            <w:rStyle w:val="Hipervnculo"/>
            <w:lang w:val="en-GB"/>
          </w:rPr>
          <w:t>https://doi.org/10.1093/acprof:oso/9780199965076.001.0001</w:t>
        </w:r>
      </w:hyperlink>
      <w:r w:rsidRPr="0073508F">
        <w:rPr>
          <w:lang w:val="en-GB"/>
        </w:rPr>
        <w:t>.</w:t>
      </w:r>
    </w:p>
    <w:p w14:paraId="653DD9B6" w14:textId="77777777" w:rsidR="0073508F" w:rsidRPr="0073508F" w:rsidRDefault="0073508F" w:rsidP="0073508F">
      <w:pPr>
        <w:pStyle w:val="Bibliografa"/>
        <w:rPr>
          <w:lang w:val="en-GB"/>
        </w:rPr>
      </w:pPr>
      <w:r w:rsidRPr="0073508F">
        <w:rPr>
          <w:lang w:val="en-GB"/>
        </w:rPr>
        <w:t xml:space="preserve">Gibson, Rachel, Rosalynd Southern, Cristian Vaccari, Peter Smyth, y Jahandar Musayev. 2025. «Does Digital Campaigning Matter, and If so, How? Testing a Broadcast versus Network Effects Model of Candidates Twitter Use». </w:t>
      </w:r>
      <w:r w:rsidRPr="0073508F">
        <w:rPr>
          <w:i/>
          <w:iCs/>
          <w:lang w:val="en-GB"/>
        </w:rPr>
        <w:t>Journal of Information Technology &amp; Politics</w:t>
      </w:r>
      <w:r w:rsidRPr="0073508F">
        <w:rPr>
          <w:lang w:val="en-GB"/>
        </w:rPr>
        <w:t xml:space="preserve"> 22 (3): 357-72. </w:t>
      </w:r>
      <w:hyperlink r:id="rId52" w:history="1">
        <w:r w:rsidRPr="0073508F">
          <w:rPr>
            <w:rStyle w:val="Hipervnculo"/>
            <w:lang w:val="en-GB"/>
          </w:rPr>
          <w:t>https://doi.org/10.1080/19331681.2024.2387634</w:t>
        </w:r>
      </w:hyperlink>
      <w:r w:rsidRPr="0073508F">
        <w:rPr>
          <w:lang w:val="en-GB"/>
        </w:rPr>
        <w:t>.</w:t>
      </w:r>
    </w:p>
    <w:p w14:paraId="10D60332" w14:textId="77777777" w:rsidR="0073508F" w:rsidRPr="0073508F" w:rsidRDefault="0073508F" w:rsidP="0073508F">
      <w:pPr>
        <w:pStyle w:val="Bibliografa"/>
        <w:rPr>
          <w:lang w:val="en-GB"/>
        </w:rPr>
      </w:pPr>
      <w:r w:rsidRPr="0073508F">
        <w:rPr>
          <w:lang w:val="en-GB"/>
        </w:rPr>
        <w:t xml:space="preserve">Gilardi, Fabrizio, Meysam Alizadeh, y Maël Kubli. 2023. «ChatGPT Outperforms Crowd Workers for Text-Annotation Tasks». </w:t>
      </w:r>
      <w:r w:rsidRPr="0073508F">
        <w:rPr>
          <w:i/>
          <w:iCs/>
          <w:lang w:val="en-GB"/>
        </w:rPr>
        <w:t>Proceedings of the National Academy of Sciences</w:t>
      </w:r>
      <w:r w:rsidRPr="0073508F">
        <w:rPr>
          <w:lang w:val="en-GB"/>
        </w:rPr>
        <w:t xml:space="preserve"> 120 (30): e2305016120. </w:t>
      </w:r>
      <w:hyperlink r:id="rId53" w:history="1">
        <w:r w:rsidRPr="0073508F">
          <w:rPr>
            <w:rStyle w:val="Hipervnculo"/>
            <w:lang w:val="en-GB"/>
          </w:rPr>
          <w:t>https://doi.org/10.1073/pnas.2305016120</w:t>
        </w:r>
      </w:hyperlink>
      <w:r w:rsidRPr="0073508F">
        <w:rPr>
          <w:lang w:val="en-GB"/>
        </w:rPr>
        <w:t>.</w:t>
      </w:r>
    </w:p>
    <w:p w14:paraId="7D45541A" w14:textId="77777777" w:rsidR="0073508F" w:rsidRPr="0073508F" w:rsidRDefault="0073508F" w:rsidP="0073508F">
      <w:pPr>
        <w:pStyle w:val="Bibliografa"/>
        <w:rPr>
          <w:lang w:val="en-GB"/>
        </w:rPr>
      </w:pPr>
      <w:r w:rsidRPr="0073508F">
        <w:rPr>
          <w:lang w:val="en-GB"/>
        </w:rPr>
        <w:t xml:space="preserve">Gorton, William A. 2016. «Manipulating Citizens: How Political Campaigns’ Use of Behavioral Social Science Harms Democracy». </w:t>
      </w:r>
      <w:r w:rsidRPr="0073508F">
        <w:rPr>
          <w:i/>
          <w:iCs/>
          <w:lang w:val="en-GB"/>
        </w:rPr>
        <w:t>New Political Science</w:t>
      </w:r>
      <w:r w:rsidRPr="0073508F">
        <w:rPr>
          <w:lang w:val="en-GB"/>
        </w:rPr>
        <w:t xml:space="preserve"> 38 (1): 61-80. </w:t>
      </w:r>
      <w:hyperlink r:id="rId54" w:history="1">
        <w:r w:rsidRPr="0073508F">
          <w:rPr>
            <w:rStyle w:val="Hipervnculo"/>
            <w:lang w:val="en-GB"/>
          </w:rPr>
          <w:t>https://doi.org/10.1080/07393148.2015.1125119</w:t>
        </w:r>
      </w:hyperlink>
      <w:r w:rsidRPr="0073508F">
        <w:rPr>
          <w:lang w:val="en-GB"/>
        </w:rPr>
        <w:t>.</w:t>
      </w:r>
    </w:p>
    <w:p w14:paraId="67B85976" w14:textId="77777777" w:rsidR="0073508F" w:rsidRPr="0073508F" w:rsidRDefault="0073508F" w:rsidP="0073508F">
      <w:pPr>
        <w:pStyle w:val="Bibliografa"/>
        <w:rPr>
          <w:lang w:val="en-GB"/>
        </w:rPr>
      </w:pPr>
      <w:r w:rsidRPr="0073508F">
        <w:rPr>
          <w:lang w:val="en-GB"/>
        </w:rPr>
        <w:t xml:space="preserve">Grimmer, Justin, Margaret E. Roberts, y Brandon M. Stewart. 2022. </w:t>
      </w:r>
      <w:r w:rsidRPr="0073508F">
        <w:rPr>
          <w:i/>
          <w:iCs/>
          <w:lang w:val="en-GB"/>
        </w:rPr>
        <w:t>Text as Data: A New Framework for Machine Learning and the Social Sciences</w:t>
      </w:r>
      <w:r w:rsidRPr="0073508F">
        <w:rPr>
          <w:lang w:val="en-GB"/>
        </w:rPr>
        <w:t>. Princeton University Press.</w:t>
      </w:r>
    </w:p>
    <w:p w14:paraId="264CF2FD" w14:textId="77777777" w:rsidR="0073508F" w:rsidRPr="0073508F" w:rsidRDefault="0073508F" w:rsidP="0073508F">
      <w:pPr>
        <w:pStyle w:val="Bibliografa"/>
        <w:rPr>
          <w:lang w:val="en-GB"/>
        </w:rPr>
      </w:pPr>
      <w:r w:rsidRPr="0073508F">
        <w:rPr>
          <w:lang w:val="en-GB"/>
        </w:rPr>
        <w:lastRenderedPageBreak/>
        <w:t xml:space="preserve">Hager, Anselm. 2019. </w:t>
      </w:r>
      <w:r w:rsidRPr="0073508F">
        <w:rPr>
          <w:i/>
          <w:iCs/>
          <w:lang w:val="en-GB"/>
        </w:rPr>
        <w:t>Do Online Ads Influence Vote Choice?</w:t>
      </w:r>
      <w:r w:rsidRPr="0073508F">
        <w:rPr>
          <w:lang w:val="en-GB"/>
        </w:rPr>
        <w:t xml:space="preserve"> julio 3. </w:t>
      </w:r>
      <w:hyperlink r:id="rId55" w:history="1">
        <w:r w:rsidRPr="0073508F">
          <w:rPr>
            <w:rStyle w:val="Hipervnculo"/>
            <w:lang w:val="en-GB"/>
          </w:rPr>
          <w:t>https://kops.uni-konstanz.de/handle/123456789/45182</w:t>
        </w:r>
      </w:hyperlink>
      <w:r w:rsidRPr="0073508F">
        <w:rPr>
          <w:lang w:val="en-GB"/>
        </w:rPr>
        <w:t>.</w:t>
      </w:r>
    </w:p>
    <w:p w14:paraId="711295B2" w14:textId="77777777" w:rsidR="0073508F" w:rsidRPr="0073508F" w:rsidRDefault="0073508F" w:rsidP="0073508F">
      <w:pPr>
        <w:pStyle w:val="Bibliografa"/>
        <w:rPr>
          <w:lang w:val="en-GB"/>
        </w:rPr>
      </w:pPr>
      <w:r w:rsidRPr="0073508F">
        <w:rPr>
          <w:lang w:val="en-GB"/>
        </w:rPr>
        <w:t xml:space="preserve">Hellweg, Eric. 2012. «2012: The First Big Data Election». </w:t>
      </w:r>
      <w:r w:rsidRPr="0073508F">
        <w:rPr>
          <w:i/>
          <w:iCs/>
          <w:lang w:val="en-GB"/>
        </w:rPr>
        <w:t>Harvard Business Review</w:t>
      </w:r>
      <w:r w:rsidRPr="0073508F">
        <w:rPr>
          <w:lang w:val="en-GB"/>
        </w:rPr>
        <w:t xml:space="preserve">. </w:t>
      </w:r>
      <w:hyperlink r:id="rId56" w:history="1">
        <w:r w:rsidRPr="0073508F">
          <w:rPr>
            <w:rStyle w:val="Hipervnculo"/>
            <w:lang w:val="en-GB"/>
          </w:rPr>
          <w:t>https://hbr.org/2012/11/2012-the-first-big-data-electi</w:t>
        </w:r>
      </w:hyperlink>
      <w:r w:rsidRPr="0073508F">
        <w:rPr>
          <w:lang w:val="en-GB"/>
        </w:rPr>
        <w:t>.</w:t>
      </w:r>
    </w:p>
    <w:p w14:paraId="7105B9EF" w14:textId="77777777" w:rsidR="0073508F" w:rsidRPr="0073508F" w:rsidRDefault="0073508F" w:rsidP="0073508F">
      <w:pPr>
        <w:pStyle w:val="Bibliografa"/>
        <w:rPr>
          <w:lang w:val="en-GB"/>
        </w:rPr>
      </w:pPr>
      <w:r w:rsidRPr="0073508F">
        <w:rPr>
          <w:lang w:val="en-GB"/>
        </w:rPr>
        <w:t xml:space="preserve">Iyengar, Shanto, Gaurav Sood, y Yphtach Lelkes. 2012. «Affect, Not Ideology». </w:t>
      </w:r>
      <w:r w:rsidRPr="0073508F">
        <w:rPr>
          <w:i/>
          <w:iCs/>
          <w:lang w:val="en-GB"/>
        </w:rPr>
        <w:t>Public Opinion Quarterly</w:t>
      </w:r>
      <w:r w:rsidRPr="0073508F">
        <w:rPr>
          <w:lang w:val="en-GB"/>
        </w:rPr>
        <w:t xml:space="preserve"> 76 (3): 405-31. </w:t>
      </w:r>
      <w:hyperlink r:id="rId57" w:history="1">
        <w:r w:rsidRPr="0073508F">
          <w:rPr>
            <w:rStyle w:val="Hipervnculo"/>
            <w:lang w:val="en-GB"/>
          </w:rPr>
          <w:t>https://doi.org/10.1093/poq/nfs038</w:t>
        </w:r>
      </w:hyperlink>
      <w:r w:rsidRPr="0073508F">
        <w:rPr>
          <w:lang w:val="en-GB"/>
        </w:rPr>
        <w:t>.</w:t>
      </w:r>
    </w:p>
    <w:p w14:paraId="03BAF1CD" w14:textId="77777777" w:rsidR="0073508F" w:rsidRPr="0073508F" w:rsidRDefault="0073508F" w:rsidP="0073508F">
      <w:pPr>
        <w:pStyle w:val="Bibliografa"/>
        <w:rPr>
          <w:lang w:val="en-GB"/>
        </w:rPr>
      </w:pPr>
      <w:r w:rsidRPr="0073508F">
        <w:rPr>
          <w:lang w:val="en-GB"/>
        </w:rPr>
        <w:t xml:space="preserve">Jackson, Sam, Feifei Zhang, Olga Boichak, et al. 2017. «Identifying Political Topics in Social Media Messages: A Lexicon-Based Approach». </w:t>
      </w:r>
      <w:r w:rsidRPr="0073508F">
        <w:rPr>
          <w:i/>
          <w:iCs/>
          <w:lang w:val="en-GB"/>
        </w:rPr>
        <w:t>Proceedings of the 8th International Conference on Social Media &amp; Society - #SMSociety17</w:t>
      </w:r>
      <w:r w:rsidRPr="0073508F">
        <w:rPr>
          <w:lang w:val="en-GB"/>
        </w:rPr>
        <w:t xml:space="preserve">, 1-10. </w:t>
      </w:r>
      <w:hyperlink r:id="rId58" w:history="1">
        <w:r w:rsidRPr="0073508F">
          <w:rPr>
            <w:rStyle w:val="Hipervnculo"/>
            <w:lang w:val="en-GB"/>
          </w:rPr>
          <w:t>https://doi.org/10.1145/3097286.3097298</w:t>
        </w:r>
      </w:hyperlink>
      <w:r w:rsidRPr="0073508F">
        <w:rPr>
          <w:lang w:val="en-GB"/>
        </w:rPr>
        <w:t>.</w:t>
      </w:r>
    </w:p>
    <w:p w14:paraId="35DAEF35" w14:textId="77777777" w:rsidR="0073508F" w:rsidRPr="0073508F" w:rsidRDefault="0073508F" w:rsidP="0073508F">
      <w:pPr>
        <w:pStyle w:val="Bibliografa"/>
        <w:rPr>
          <w:lang w:val="en-GB"/>
        </w:rPr>
      </w:pPr>
      <w:r w:rsidRPr="0073508F">
        <w:rPr>
          <w:lang w:val="en-GB"/>
        </w:rPr>
        <w:t xml:space="preserve">Kawintiranon, Kornraphop, y Lisa Singh. 2022. «PoliBERTweet: A Pre-trained Language Model for Analyzing Political Content on Twitter». En </w:t>
      </w:r>
      <w:r w:rsidRPr="0073508F">
        <w:rPr>
          <w:i/>
          <w:iCs/>
          <w:lang w:val="en-GB"/>
        </w:rPr>
        <w:t>Proceedings of the Thirteenth Language Resources and Evaluation Conference</w:t>
      </w:r>
      <w:r w:rsidRPr="0073508F">
        <w:rPr>
          <w:lang w:val="en-GB"/>
        </w:rPr>
        <w:t xml:space="preserve">, editado por Nicoletta Calzolari, Frédéric Béchet, Philippe Blache, et al. European Language Resources Association. </w:t>
      </w:r>
      <w:hyperlink r:id="rId59" w:history="1">
        <w:r w:rsidRPr="0073508F">
          <w:rPr>
            <w:rStyle w:val="Hipervnculo"/>
            <w:lang w:val="en-GB"/>
          </w:rPr>
          <w:t>https://aclanthology.org/2022.lrec-1.801/</w:t>
        </w:r>
      </w:hyperlink>
      <w:r w:rsidRPr="0073508F">
        <w:rPr>
          <w:lang w:val="en-GB"/>
        </w:rPr>
        <w:t>.</w:t>
      </w:r>
    </w:p>
    <w:p w14:paraId="2B17A4C3" w14:textId="77777777" w:rsidR="0073508F" w:rsidRPr="0073508F" w:rsidRDefault="0073508F" w:rsidP="0073508F">
      <w:pPr>
        <w:pStyle w:val="Bibliografa"/>
        <w:rPr>
          <w:lang w:val="en-GB"/>
        </w:rPr>
      </w:pPr>
      <w:r w:rsidRPr="0073508F">
        <w:rPr>
          <w:lang w:val="en-GB"/>
        </w:rPr>
        <w:t xml:space="preserve">Kim, Seo-young Silvia, Jan Zilinsky, y Brian Brew. 2025. «Donate to Help Us Fight Back: Political Fundraising and Toxic Rhetoric Online». </w:t>
      </w:r>
      <w:r w:rsidRPr="0073508F">
        <w:rPr>
          <w:i/>
          <w:iCs/>
          <w:lang w:val="en-GB"/>
        </w:rPr>
        <w:t>Party Politics</w:t>
      </w:r>
      <w:r w:rsidRPr="0073508F">
        <w:rPr>
          <w:lang w:val="en-GB"/>
        </w:rPr>
        <w:t xml:space="preserve"> 31 (3): 549-61. </w:t>
      </w:r>
      <w:hyperlink r:id="rId60" w:history="1">
        <w:r w:rsidRPr="0073508F">
          <w:rPr>
            <w:rStyle w:val="Hipervnculo"/>
            <w:lang w:val="en-GB"/>
          </w:rPr>
          <w:t>https://doi.org/10.1177/13540688241235901</w:t>
        </w:r>
      </w:hyperlink>
      <w:r w:rsidRPr="0073508F">
        <w:rPr>
          <w:lang w:val="en-GB"/>
        </w:rPr>
        <w:t>.</w:t>
      </w:r>
    </w:p>
    <w:p w14:paraId="4518A4E1" w14:textId="77777777" w:rsidR="0073508F" w:rsidRPr="0073508F" w:rsidRDefault="0073508F" w:rsidP="0073508F">
      <w:pPr>
        <w:pStyle w:val="Bibliografa"/>
      </w:pPr>
      <w:r w:rsidRPr="0073508F">
        <w:rPr>
          <w:lang w:val="en-GB"/>
        </w:rPr>
        <w:t xml:space="preserve">Kreiss, Daniel, y Shannon C. Mcgregor. 2018. «Technology Firms Shape Political Communication: The Work of Microsoft, Facebook, Twitter, and Google With Campaigns During the 2016 U.S. Presidential Cycle». </w:t>
      </w:r>
      <w:r w:rsidRPr="0073508F">
        <w:rPr>
          <w:i/>
          <w:iCs/>
        </w:rPr>
        <w:t>Political Communication</w:t>
      </w:r>
      <w:r w:rsidRPr="0073508F">
        <w:t xml:space="preserve"> 35 (2): 155-77. </w:t>
      </w:r>
      <w:hyperlink r:id="rId61" w:history="1">
        <w:r w:rsidRPr="0073508F">
          <w:rPr>
            <w:rStyle w:val="Hipervnculo"/>
          </w:rPr>
          <w:t>https://doi.org/10.1080/10584609.2017.1364814</w:t>
        </w:r>
      </w:hyperlink>
      <w:r w:rsidRPr="0073508F">
        <w:t>.</w:t>
      </w:r>
    </w:p>
    <w:p w14:paraId="5D7A35FC" w14:textId="77777777" w:rsidR="0073508F" w:rsidRPr="0073508F" w:rsidRDefault="0073508F" w:rsidP="0073508F">
      <w:pPr>
        <w:pStyle w:val="Bibliografa"/>
        <w:rPr>
          <w:lang w:val="en-GB"/>
        </w:rPr>
      </w:pPr>
      <w:r w:rsidRPr="0073508F">
        <w:t xml:space="preserve">Luna, Juan Pablo, Cristian Pérez, Sergio Toro, et al. 2022. </w:t>
      </w:r>
      <w:r w:rsidRPr="0073508F">
        <w:rPr>
          <w:lang w:val="en-GB"/>
        </w:rPr>
        <w:t xml:space="preserve">«Much Ado About Facebook? Evidence from 80 Congressional Campaigns in Chile». </w:t>
      </w:r>
      <w:r w:rsidRPr="0073508F">
        <w:rPr>
          <w:i/>
          <w:iCs/>
          <w:lang w:val="en-GB"/>
        </w:rPr>
        <w:t>Journal of Information Technology &amp; Politics</w:t>
      </w:r>
      <w:r w:rsidRPr="0073508F">
        <w:rPr>
          <w:lang w:val="en-GB"/>
        </w:rPr>
        <w:t xml:space="preserve"> 19 (2): 129-39. </w:t>
      </w:r>
      <w:hyperlink r:id="rId62" w:history="1">
        <w:r w:rsidRPr="0073508F">
          <w:rPr>
            <w:rStyle w:val="Hipervnculo"/>
            <w:lang w:val="en-GB"/>
          </w:rPr>
          <w:t>https://doi.org/10.1080/19331681.2021.1936334</w:t>
        </w:r>
      </w:hyperlink>
      <w:r w:rsidRPr="0073508F">
        <w:rPr>
          <w:lang w:val="en-GB"/>
        </w:rPr>
        <w:t>.</w:t>
      </w:r>
    </w:p>
    <w:p w14:paraId="3475F41E" w14:textId="77777777" w:rsidR="0073508F" w:rsidRPr="0073508F" w:rsidRDefault="0073508F" w:rsidP="0073508F">
      <w:pPr>
        <w:pStyle w:val="Bibliografa"/>
      </w:pPr>
      <w:r w:rsidRPr="0073508F">
        <w:rPr>
          <w:lang w:val="en-GB"/>
        </w:rPr>
        <w:t xml:space="preserve">Mena, Carlos, A.L. Padilla-Ortiz, y Felipe Orduña-Bustamante. 2026. «Automatic Speech Recognition in the Presence of Babble Noise and Reverberation Compared to Human Speech Intelligibility in Spanish». </w:t>
      </w:r>
      <w:r w:rsidRPr="0073508F">
        <w:rPr>
          <w:i/>
          <w:iCs/>
        </w:rPr>
        <w:t>Computer Speech &amp; Language</w:t>
      </w:r>
      <w:r w:rsidRPr="0073508F">
        <w:t xml:space="preserve"> 95 (enero): 101856. </w:t>
      </w:r>
      <w:hyperlink r:id="rId63" w:history="1">
        <w:r w:rsidRPr="0073508F">
          <w:rPr>
            <w:rStyle w:val="Hipervnculo"/>
          </w:rPr>
          <w:t>https://doi.org/10.1016/j.csl.2025.101856</w:t>
        </w:r>
      </w:hyperlink>
      <w:r w:rsidRPr="0073508F">
        <w:t>.</w:t>
      </w:r>
    </w:p>
    <w:p w14:paraId="2C22E822" w14:textId="77777777" w:rsidR="0073508F" w:rsidRPr="0073508F" w:rsidRDefault="0073508F" w:rsidP="0073508F">
      <w:pPr>
        <w:pStyle w:val="Bibliografa"/>
      </w:pPr>
      <w:r w:rsidRPr="0073508F">
        <w:t xml:space="preserve">Nacimiento-García, Eduardo, Holi Sunya Díaz-Kaas-Nielsen, y Carina S. González-González. </w:t>
      </w:r>
      <w:r w:rsidRPr="0073508F">
        <w:rPr>
          <w:lang w:val="en-GB"/>
        </w:rPr>
        <w:t xml:space="preserve">2024. «Gender and Accent Biases in AI-Based Tools for Spanish: A Comparative Study between Alexa and Whisper». </w:t>
      </w:r>
      <w:r w:rsidRPr="0073508F">
        <w:rPr>
          <w:i/>
          <w:iCs/>
        </w:rPr>
        <w:t>Applied Sciences</w:t>
      </w:r>
      <w:r w:rsidRPr="0073508F">
        <w:t xml:space="preserve"> 14 (11): 11. </w:t>
      </w:r>
      <w:hyperlink r:id="rId64" w:history="1">
        <w:r w:rsidRPr="0073508F">
          <w:rPr>
            <w:rStyle w:val="Hipervnculo"/>
          </w:rPr>
          <w:t>https://doi.org/10.3390/app14114734</w:t>
        </w:r>
      </w:hyperlink>
      <w:r w:rsidRPr="0073508F">
        <w:t>.</w:t>
      </w:r>
    </w:p>
    <w:p w14:paraId="523033E5" w14:textId="77777777" w:rsidR="0073508F" w:rsidRPr="0073508F" w:rsidRDefault="0073508F" w:rsidP="0073508F">
      <w:pPr>
        <w:pStyle w:val="Bibliografa"/>
      </w:pPr>
      <w:r w:rsidRPr="0073508F">
        <w:t xml:space="preserve">Negri, Juan, Gastón Gertner, Leandro Colisko, et al. 2024. </w:t>
      </w:r>
      <w:r w:rsidRPr="0073508F">
        <w:rPr>
          <w:i/>
          <w:iCs/>
        </w:rPr>
        <w:t>Avisos Electorales en Redes Sociales: Elecciones Presidenciales en Argentina</w:t>
      </w:r>
      <w:r w:rsidRPr="0073508F">
        <w:t xml:space="preserve">. </w:t>
      </w:r>
      <w:hyperlink r:id="rId65" w:history="1">
        <w:r w:rsidRPr="0073508F">
          <w:rPr>
            <w:rStyle w:val="Hipervnculo"/>
          </w:rPr>
          <w:t>https://repositorio.utdt.edu/handle/20.500.13098/13262</w:t>
        </w:r>
      </w:hyperlink>
      <w:r w:rsidRPr="0073508F">
        <w:t>.</w:t>
      </w:r>
    </w:p>
    <w:p w14:paraId="1E43C657" w14:textId="77777777" w:rsidR="0073508F" w:rsidRPr="0073508F" w:rsidRDefault="0073508F" w:rsidP="0073508F">
      <w:pPr>
        <w:pStyle w:val="Bibliografa"/>
        <w:rPr>
          <w:lang w:val="en-GB"/>
        </w:rPr>
      </w:pPr>
      <w:r w:rsidRPr="0073508F">
        <w:rPr>
          <w:lang w:val="en-GB"/>
        </w:rPr>
        <w:t xml:space="preserve">Nielsen, Rasmus Kleis. 2013. «Mundane Internet Tools, the Risk of Exclusion, and Reflexive Movements—Occupy Wall Street and Political Uses of Digital Networked Technologies». </w:t>
      </w:r>
      <w:r w:rsidRPr="0073508F">
        <w:rPr>
          <w:i/>
          <w:iCs/>
          <w:lang w:val="en-GB"/>
        </w:rPr>
        <w:t>The Sociological Quarterly</w:t>
      </w:r>
      <w:r w:rsidRPr="0073508F">
        <w:rPr>
          <w:lang w:val="en-GB"/>
        </w:rPr>
        <w:t xml:space="preserve"> 54 (2): 173-77. </w:t>
      </w:r>
      <w:hyperlink r:id="rId66" w:history="1">
        <w:r w:rsidRPr="0073508F">
          <w:rPr>
            <w:rStyle w:val="Hipervnculo"/>
            <w:lang w:val="en-GB"/>
          </w:rPr>
          <w:t>https://doi.org/10.1111/tsq.12015</w:t>
        </w:r>
      </w:hyperlink>
      <w:r w:rsidRPr="0073508F">
        <w:rPr>
          <w:lang w:val="en-GB"/>
        </w:rPr>
        <w:t>.</w:t>
      </w:r>
    </w:p>
    <w:p w14:paraId="291CAB88" w14:textId="77777777" w:rsidR="0073508F" w:rsidRPr="0073508F" w:rsidRDefault="0073508F" w:rsidP="0073508F">
      <w:pPr>
        <w:pStyle w:val="Bibliografa"/>
        <w:rPr>
          <w:lang w:val="en-GB"/>
        </w:rPr>
      </w:pPr>
      <w:r w:rsidRPr="0073508F">
        <w:rPr>
          <w:lang w:val="en-GB"/>
        </w:rPr>
        <w:lastRenderedPageBreak/>
        <w:t xml:space="preserve">Ornstein, Joseph T., Elise N. Blasingame, y Jake S. Truscott. 2025. «How to Train Your Stochastic Parrot: Large Language Models for Political Texts». </w:t>
      </w:r>
      <w:r w:rsidRPr="0073508F">
        <w:rPr>
          <w:i/>
          <w:iCs/>
          <w:lang w:val="en-GB"/>
        </w:rPr>
        <w:t>Political Science Research and Methods</w:t>
      </w:r>
      <w:r w:rsidRPr="0073508F">
        <w:rPr>
          <w:lang w:val="en-GB"/>
        </w:rPr>
        <w:t xml:space="preserve"> 13 (2): 264-81. </w:t>
      </w:r>
      <w:hyperlink r:id="rId67" w:history="1">
        <w:r w:rsidRPr="0073508F">
          <w:rPr>
            <w:rStyle w:val="Hipervnculo"/>
            <w:lang w:val="en-GB"/>
          </w:rPr>
          <w:t>https://doi.org/10.1017/psrm.2024.64</w:t>
        </w:r>
      </w:hyperlink>
      <w:r w:rsidRPr="0073508F">
        <w:rPr>
          <w:lang w:val="en-GB"/>
        </w:rPr>
        <w:t>.</w:t>
      </w:r>
    </w:p>
    <w:p w14:paraId="4BED5586" w14:textId="77777777" w:rsidR="0073508F" w:rsidRPr="0073508F" w:rsidRDefault="0073508F" w:rsidP="0073508F">
      <w:pPr>
        <w:pStyle w:val="Bibliografa"/>
        <w:rPr>
          <w:lang w:val="en-GB"/>
        </w:rPr>
      </w:pPr>
      <w:r w:rsidRPr="0073508F">
        <w:rPr>
          <w:lang w:val="en-GB"/>
        </w:rPr>
        <w:t xml:space="preserve">Pasek, Josh, eian more, y Daniel Romer. 2009. «Realizing the Social Internet? Online Social Networking Meets Offline Civic Engagement». </w:t>
      </w:r>
      <w:r w:rsidRPr="0073508F">
        <w:rPr>
          <w:i/>
          <w:iCs/>
          <w:lang w:val="en-GB"/>
        </w:rPr>
        <w:t>Journal of Information Technology &amp; Politics</w:t>
      </w:r>
      <w:r w:rsidRPr="0073508F">
        <w:rPr>
          <w:lang w:val="en-GB"/>
        </w:rPr>
        <w:t xml:space="preserve"> 6 (3-4): 197-215. </w:t>
      </w:r>
      <w:hyperlink r:id="rId68" w:history="1">
        <w:r w:rsidRPr="0073508F">
          <w:rPr>
            <w:rStyle w:val="Hipervnculo"/>
            <w:lang w:val="en-GB"/>
          </w:rPr>
          <w:t>https://doi.org/10.1080/19331680902996403</w:t>
        </w:r>
      </w:hyperlink>
      <w:r w:rsidRPr="0073508F">
        <w:rPr>
          <w:lang w:val="en-GB"/>
        </w:rPr>
        <w:t>.</w:t>
      </w:r>
    </w:p>
    <w:p w14:paraId="6AF6DCB4" w14:textId="77777777" w:rsidR="0073508F" w:rsidRPr="0073508F" w:rsidRDefault="0073508F" w:rsidP="0073508F">
      <w:pPr>
        <w:pStyle w:val="Bibliografa"/>
        <w:rPr>
          <w:lang w:val="en-GB"/>
        </w:rPr>
      </w:pPr>
      <w:r w:rsidRPr="0073508F">
        <w:rPr>
          <w:lang w:val="en-GB"/>
        </w:rPr>
        <w:t xml:space="preserve">Pasquale, Frank. 2015. «The Black Box Society». Harvard University Press. </w:t>
      </w:r>
      <w:hyperlink r:id="rId69" w:history="1">
        <w:r w:rsidRPr="0073508F">
          <w:rPr>
            <w:rStyle w:val="Hipervnculo"/>
            <w:lang w:val="en-GB"/>
          </w:rPr>
          <w:t>https://www.hup.harvard.edu/books/9780674970847</w:t>
        </w:r>
      </w:hyperlink>
      <w:r w:rsidRPr="0073508F">
        <w:rPr>
          <w:lang w:val="en-GB"/>
        </w:rPr>
        <w:t>.</w:t>
      </w:r>
    </w:p>
    <w:p w14:paraId="1B7DDC3B" w14:textId="77777777" w:rsidR="0073508F" w:rsidRPr="0073508F" w:rsidRDefault="0073508F" w:rsidP="0073508F">
      <w:pPr>
        <w:pStyle w:val="Bibliografa"/>
      </w:pPr>
      <w:r w:rsidRPr="0073508F">
        <w:rPr>
          <w:lang w:val="en-GB"/>
        </w:rPr>
        <w:t xml:space="preserve">Piñeiro-Rodríguez, Rafael, Fernando Rosenblatt, Gabriel Vommaro, y Laura Wills-Otero. 2024. </w:t>
      </w:r>
      <w:r w:rsidRPr="0073508F">
        <w:rPr>
          <w:i/>
          <w:iCs/>
          <w:lang w:val="en-GB"/>
        </w:rPr>
        <w:t>Parties and New Technologies in Latin America</w:t>
      </w:r>
      <w:r w:rsidRPr="0073508F">
        <w:rPr>
          <w:lang w:val="en-GB"/>
        </w:rPr>
        <w:t xml:space="preserve">. </w:t>
      </w:r>
      <w:r w:rsidRPr="0073508F">
        <w:t>1.</w:t>
      </w:r>
      <w:r w:rsidRPr="0073508F">
        <w:rPr>
          <w:vertAlign w:val="superscript"/>
        </w:rPr>
        <w:t>a</w:t>
      </w:r>
      <w:r w:rsidRPr="0073508F">
        <w:t xml:space="preserve"> ed. Cambridge University Press. </w:t>
      </w:r>
      <w:hyperlink r:id="rId70" w:history="1">
        <w:r w:rsidRPr="0073508F">
          <w:rPr>
            <w:rStyle w:val="Hipervnculo"/>
          </w:rPr>
          <w:t>https://doi.org/10.1017/9781009623018</w:t>
        </w:r>
      </w:hyperlink>
      <w:r w:rsidRPr="0073508F">
        <w:t>.</w:t>
      </w:r>
    </w:p>
    <w:p w14:paraId="46767A35" w14:textId="77777777" w:rsidR="0073508F" w:rsidRPr="0073508F" w:rsidRDefault="0073508F" w:rsidP="0073508F">
      <w:pPr>
        <w:pStyle w:val="Bibliografa"/>
      </w:pPr>
      <w:r w:rsidRPr="0073508F">
        <w:t xml:space="preserve">Queirolo, Rosario, María Fernanda Boidi, y Álvaro Caso. 2015. «Elecciones internas en Uruguay: un caso de incentivos diferenciados para la movilización electoral.» En </w:t>
      </w:r>
      <w:r w:rsidRPr="0073508F">
        <w:rPr>
          <w:i/>
          <w:iCs/>
        </w:rPr>
        <w:t>La campaña electoral 2014 en Uruguay: evolución del voto y del sistema de partidos</w:t>
      </w:r>
      <w:r w:rsidRPr="0073508F">
        <w:t>, editado por Pablo Mieres. Universidad Católica del Uruguay, Departamento de Ciencias Sociales y Políticas, Facultad de Ciencias Humanas : Konrad Adenauer Stiftung.</w:t>
      </w:r>
    </w:p>
    <w:p w14:paraId="4A3B14A0" w14:textId="77777777" w:rsidR="0073508F" w:rsidRPr="0073508F" w:rsidRDefault="0073508F" w:rsidP="0073508F">
      <w:pPr>
        <w:pStyle w:val="Bibliografa"/>
        <w:rPr>
          <w:lang w:val="en-GB"/>
        </w:rPr>
      </w:pPr>
      <w:r w:rsidRPr="0073508F">
        <w:rPr>
          <w:lang w:val="en-GB"/>
        </w:rPr>
        <w:t xml:space="preserve">Radford, Alec, Jong Wook Kim, Tao Xu, Greg Brockman, Christine McLeavey, y Ilya Sutskever. 2022. «Robust Speech Recognition via Large-Scale Weak Supervision». arXiv:2212.04356. Preprint, arXiv, diciembre 6. </w:t>
      </w:r>
      <w:hyperlink r:id="rId71" w:history="1">
        <w:r w:rsidRPr="0073508F">
          <w:rPr>
            <w:rStyle w:val="Hipervnculo"/>
            <w:lang w:val="en-GB"/>
          </w:rPr>
          <w:t>https://doi.org/10.48550/arXiv.2212.04356</w:t>
        </w:r>
      </w:hyperlink>
      <w:r w:rsidRPr="0073508F">
        <w:rPr>
          <w:lang w:val="en-GB"/>
        </w:rPr>
        <w:t>.</w:t>
      </w:r>
    </w:p>
    <w:p w14:paraId="57932201" w14:textId="77777777" w:rsidR="0073508F" w:rsidRPr="0073508F" w:rsidRDefault="0073508F" w:rsidP="0073508F">
      <w:pPr>
        <w:pStyle w:val="Bibliografa"/>
      </w:pPr>
      <w:r w:rsidRPr="0073508F">
        <w:t xml:space="preserve">Santos, Mathias-Felipe de-Lima-, Isabella Gonçalves, Marcos G. Quiles, Lucia Mesquita, Wilson Ceron, y Maria Clara Couto Lorena. </w:t>
      </w:r>
      <w:r w:rsidRPr="0073508F">
        <w:rPr>
          <w:lang w:val="en-GB"/>
        </w:rPr>
        <w:t xml:space="preserve">2024. «Visual Political Communication on Instagram: A Comparative Study of Brazilian Presidential Elections». </w:t>
      </w:r>
      <w:r w:rsidRPr="0073508F">
        <w:rPr>
          <w:i/>
          <w:iCs/>
        </w:rPr>
        <w:t>EPJ Data Science</w:t>
      </w:r>
      <w:r w:rsidRPr="0073508F">
        <w:t xml:space="preserve"> 13 (1): 1-21. </w:t>
      </w:r>
      <w:hyperlink r:id="rId72" w:history="1">
        <w:r w:rsidRPr="0073508F">
          <w:rPr>
            <w:rStyle w:val="Hipervnculo"/>
          </w:rPr>
          <w:t>https://doi.org/10.1140/epjds/s13688-024-00502-0</w:t>
        </w:r>
      </w:hyperlink>
      <w:r w:rsidRPr="0073508F">
        <w:t>.</w:t>
      </w:r>
    </w:p>
    <w:p w14:paraId="428C5F13" w14:textId="77777777" w:rsidR="0073508F" w:rsidRPr="0073508F" w:rsidRDefault="0073508F" w:rsidP="0073508F">
      <w:pPr>
        <w:pStyle w:val="Bibliografa"/>
      </w:pPr>
      <w:r w:rsidRPr="0073508F">
        <w:t xml:space="preserve">Sarasqueta, Gonzalo, Martina Ferrero, Samantha Olmedo, et al. 2025. «La construcción de narrativas políticas en campañas electorales sudamericanas: un análisis de las redes sociales». </w:t>
      </w:r>
      <w:r w:rsidRPr="0073508F">
        <w:rPr>
          <w:i/>
          <w:iCs/>
        </w:rPr>
        <w:t>Revista Latina de Comunicación Social</w:t>
      </w:r>
      <w:r w:rsidRPr="0073508F">
        <w:t>, n.</w:t>
      </w:r>
      <w:r w:rsidRPr="0073508F">
        <w:rPr>
          <w:vertAlign w:val="superscript"/>
        </w:rPr>
        <w:t>o</w:t>
      </w:r>
      <w:r w:rsidRPr="0073508F">
        <w:t xml:space="preserve"> 83 (junio): 83. </w:t>
      </w:r>
      <w:hyperlink r:id="rId73" w:history="1">
        <w:r w:rsidRPr="0073508F">
          <w:rPr>
            <w:rStyle w:val="Hipervnculo"/>
          </w:rPr>
          <w:t>https://doi.org/10.4185/rlcs-2025-2442</w:t>
        </w:r>
      </w:hyperlink>
      <w:r w:rsidRPr="0073508F">
        <w:t>.</w:t>
      </w:r>
    </w:p>
    <w:p w14:paraId="1E282629" w14:textId="77777777" w:rsidR="0073508F" w:rsidRPr="0073508F" w:rsidRDefault="0073508F" w:rsidP="0073508F">
      <w:pPr>
        <w:pStyle w:val="Bibliografa"/>
        <w:rPr>
          <w:lang w:val="en-GB"/>
        </w:rPr>
      </w:pPr>
      <w:r w:rsidRPr="0073508F">
        <w:t xml:space="preserve">Schmøkel, Rasmus, y Michael Bossetta. </w:t>
      </w:r>
      <w:r w:rsidRPr="0073508F">
        <w:rPr>
          <w:lang w:val="en-GB"/>
        </w:rPr>
        <w:t xml:space="preserve">2022. «FBAdLibrarian and Pykognition: open science tools for the collection and emotion detection of images in Facebook political ads with computer vision». </w:t>
      </w:r>
      <w:r w:rsidRPr="0073508F">
        <w:rPr>
          <w:i/>
          <w:iCs/>
          <w:lang w:val="en-GB"/>
        </w:rPr>
        <w:t>Journal of Information Technology &amp; Politics</w:t>
      </w:r>
      <w:r w:rsidRPr="0073508F">
        <w:rPr>
          <w:lang w:val="en-GB"/>
        </w:rPr>
        <w:t xml:space="preserve"> 19 (1): 118-28. </w:t>
      </w:r>
      <w:hyperlink r:id="rId74" w:history="1">
        <w:r w:rsidRPr="0073508F">
          <w:rPr>
            <w:rStyle w:val="Hipervnculo"/>
            <w:lang w:val="en-GB"/>
          </w:rPr>
          <w:t>https://doi.org/10.1080/19331681.2021.1928579</w:t>
        </w:r>
      </w:hyperlink>
      <w:r w:rsidRPr="0073508F">
        <w:rPr>
          <w:lang w:val="en-GB"/>
        </w:rPr>
        <w:t>.</w:t>
      </w:r>
    </w:p>
    <w:p w14:paraId="054CA699" w14:textId="77777777" w:rsidR="0073508F" w:rsidRPr="0073508F" w:rsidRDefault="0073508F" w:rsidP="0073508F">
      <w:pPr>
        <w:pStyle w:val="Bibliografa"/>
        <w:rPr>
          <w:lang w:val="en-GB"/>
        </w:rPr>
      </w:pPr>
      <w:r w:rsidRPr="0073508F">
        <w:rPr>
          <w:lang w:val="en-GB"/>
        </w:rPr>
        <w:t xml:space="preserve">Sosnovik, Vera, Romaissa Kessi, Maximin Coavoux, y Oana Goga. 2023. «On Detecting Policy-Related Political Ads: An Exploratory Analysis of Meta Ads in 2022 French Election». </w:t>
      </w:r>
      <w:r w:rsidRPr="0073508F">
        <w:rPr>
          <w:i/>
          <w:iCs/>
          <w:lang w:val="en-GB"/>
        </w:rPr>
        <w:t>Proceedings of the ACM Web Conference 2023</w:t>
      </w:r>
      <w:r w:rsidRPr="0073508F">
        <w:rPr>
          <w:lang w:val="en-GB"/>
        </w:rPr>
        <w:t xml:space="preserve">, abril 30, 4104-14. </w:t>
      </w:r>
      <w:hyperlink r:id="rId75" w:history="1">
        <w:r w:rsidRPr="0073508F">
          <w:rPr>
            <w:rStyle w:val="Hipervnculo"/>
            <w:lang w:val="en-GB"/>
          </w:rPr>
          <w:t>https://doi.org/10.1145/3543507.3583875</w:t>
        </w:r>
      </w:hyperlink>
      <w:r w:rsidRPr="0073508F">
        <w:rPr>
          <w:lang w:val="en-GB"/>
        </w:rPr>
        <w:t>.</w:t>
      </w:r>
    </w:p>
    <w:p w14:paraId="689FFBCB" w14:textId="77777777" w:rsidR="0073508F" w:rsidRPr="0073508F" w:rsidRDefault="0073508F" w:rsidP="0073508F">
      <w:pPr>
        <w:pStyle w:val="Bibliografa"/>
        <w:rPr>
          <w:lang w:val="en-GB"/>
        </w:rPr>
      </w:pPr>
      <w:r w:rsidRPr="0073508F">
        <w:rPr>
          <w:lang w:val="en-GB"/>
        </w:rPr>
        <w:t xml:space="preserve">Stromer-Galley, Jennifer. 2014. </w:t>
      </w:r>
      <w:r w:rsidRPr="0073508F">
        <w:rPr>
          <w:i/>
          <w:iCs/>
          <w:lang w:val="en-GB"/>
        </w:rPr>
        <w:t>Presidential Campaigning in the Internet Age</w:t>
      </w:r>
      <w:r w:rsidRPr="0073508F">
        <w:rPr>
          <w:lang w:val="en-GB"/>
        </w:rPr>
        <w:t>. Oxford Studies in Digital Politics. Oxford University Press.</w:t>
      </w:r>
    </w:p>
    <w:p w14:paraId="5C8B8E22" w14:textId="77777777" w:rsidR="0073508F" w:rsidRPr="0073508F" w:rsidRDefault="0073508F" w:rsidP="0073508F">
      <w:pPr>
        <w:pStyle w:val="Bibliografa"/>
        <w:rPr>
          <w:lang w:val="en-GB"/>
        </w:rPr>
      </w:pPr>
      <w:r w:rsidRPr="0073508F">
        <w:rPr>
          <w:lang w:val="en-GB"/>
        </w:rPr>
        <w:lastRenderedPageBreak/>
        <w:t xml:space="preserve">Stromer-Galley, Jennifer, y Patricia Rossini. 2024. «Categorizing Political Campaign Messages on Social Media Using Supervised Machine Learning». </w:t>
      </w:r>
      <w:r w:rsidRPr="0073508F">
        <w:rPr>
          <w:i/>
          <w:iCs/>
          <w:lang w:val="en-GB"/>
        </w:rPr>
        <w:t>Journal of Information Technology &amp; Politics</w:t>
      </w:r>
      <w:r w:rsidRPr="0073508F">
        <w:rPr>
          <w:lang w:val="en-GB"/>
        </w:rPr>
        <w:t xml:space="preserve"> 21 (4): 410-23. </w:t>
      </w:r>
      <w:hyperlink r:id="rId76" w:history="1">
        <w:r w:rsidRPr="0073508F">
          <w:rPr>
            <w:rStyle w:val="Hipervnculo"/>
            <w:lang w:val="en-GB"/>
          </w:rPr>
          <w:t>https://doi.org/10.1080/19331681.2023.2231436</w:t>
        </w:r>
      </w:hyperlink>
      <w:r w:rsidRPr="0073508F">
        <w:rPr>
          <w:lang w:val="en-GB"/>
        </w:rPr>
        <w:t>.</w:t>
      </w:r>
    </w:p>
    <w:p w14:paraId="70D8A410" w14:textId="77777777" w:rsidR="0073508F" w:rsidRPr="0073508F" w:rsidRDefault="0073508F" w:rsidP="0073508F">
      <w:pPr>
        <w:pStyle w:val="Bibliografa"/>
        <w:rPr>
          <w:lang w:val="en-GB"/>
        </w:rPr>
      </w:pPr>
      <w:r w:rsidRPr="0073508F">
        <w:rPr>
          <w:lang w:val="en-GB"/>
        </w:rPr>
        <w:t xml:space="preserve">Stromer-Galley, Jennifer, Patrícia Rossini, Jeff Hemsley, Sarah E. Bolden, y Brian McKernan. 2021. «Political Messaging Over Time: A Comparison of US Presidential Candidate Facebook Posts and Tweets in 2016 and 2020». </w:t>
      </w:r>
      <w:r w:rsidRPr="0073508F">
        <w:rPr>
          <w:i/>
          <w:iCs/>
          <w:lang w:val="en-GB"/>
        </w:rPr>
        <w:t>Social Media + Society</w:t>
      </w:r>
      <w:r w:rsidRPr="0073508F">
        <w:rPr>
          <w:lang w:val="en-GB"/>
        </w:rPr>
        <w:t xml:space="preserve"> 7 (4). </w:t>
      </w:r>
      <w:hyperlink r:id="rId77" w:history="1">
        <w:r w:rsidRPr="0073508F">
          <w:rPr>
            <w:rStyle w:val="Hipervnculo"/>
            <w:lang w:val="en-GB"/>
          </w:rPr>
          <w:t>https://doi.org/10.1177/20563051211063465</w:t>
        </w:r>
      </w:hyperlink>
      <w:r w:rsidRPr="0073508F">
        <w:rPr>
          <w:lang w:val="en-GB"/>
        </w:rPr>
        <w:t>.</w:t>
      </w:r>
    </w:p>
    <w:p w14:paraId="421AE15D" w14:textId="77777777" w:rsidR="0073508F" w:rsidRPr="0073508F" w:rsidRDefault="0073508F" w:rsidP="0073508F">
      <w:pPr>
        <w:pStyle w:val="Bibliografa"/>
        <w:rPr>
          <w:lang w:val="en-GB"/>
        </w:rPr>
      </w:pPr>
      <w:r w:rsidRPr="0073508F">
        <w:rPr>
          <w:lang w:val="en-GB"/>
        </w:rPr>
        <w:t xml:space="preserve">Sunstein, Cass R. 2018. </w:t>
      </w:r>
      <w:r w:rsidRPr="0073508F">
        <w:rPr>
          <w:i/>
          <w:iCs/>
          <w:lang w:val="en-GB"/>
        </w:rPr>
        <w:t>#Republic: Divided Democracy in the Age of Social Media</w:t>
      </w:r>
      <w:r w:rsidRPr="0073508F">
        <w:rPr>
          <w:lang w:val="en-GB"/>
        </w:rPr>
        <w:t xml:space="preserve">. Princeton University Press. </w:t>
      </w:r>
      <w:hyperlink r:id="rId78" w:history="1">
        <w:r w:rsidRPr="0073508F">
          <w:rPr>
            <w:rStyle w:val="Hipervnculo"/>
            <w:lang w:val="en-GB"/>
          </w:rPr>
          <w:t>https://doi.org/10.2307/j.ctv8xnhtd</w:t>
        </w:r>
      </w:hyperlink>
      <w:r w:rsidRPr="0073508F">
        <w:rPr>
          <w:lang w:val="en-GB"/>
        </w:rPr>
        <w:t>.</w:t>
      </w:r>
    </w:p>
    <w:p w14:paraId="1C4487D3" w14:textId="77777777" w:rsidR="0073508F" w:rsidRPr="0073508F" w:rsidRDefault="0073508F" w:rsidP="0073508F">
      <w:pPr>
        <w:pStyle w:val="Bibliografa"/>
        <w:rPr>
          <w:lang w:val="en-GB"/>
        </w:rPr>
      </w:pPr>
      <w:r w:rsidRPr="0073508F">
        <w:rPr>
          <w:lang w:val="en-GB"/>
        </w:rPr>
        <w:t xml:space="preserve">Thiele, Lukas, y Oke Seliger. 2025. «How do parties use political advertising in election campaigns? Examining issue competition in advertising campaigns on Facebook and Instagram for the 2021 federal election in Germany». </w:t>
      </w:r>
      <w:r w:rsidRPr="0073508F">
        <w:rPr>
          <w:i/>
          <w:iCs/>
          <w:lang w:val="en-GB"/>
        </w:rPr>
        <w:t>Journal of Information Technology &amp; Politics</w:t>
      </w:r>
      <w:r w:rsidRPr="0073508F">
        <w:rPr>
          <w:lang w:val="en-GB"/>
        </w:rPr>
        <w:t xml:space="preserve"> 0 (0): 1-15. </w:t>
      </w:r>
      <w:hyperlink r:id="rId79" w:history="1">
        <w:r w:rsidRPr="0073508F">
          <w:rPr>
            <w:rStyle w:val="Hipervnculo"/>
            <w:lang w:val="en-GB"/>
          </w:rPr>
          <w:t>https://doi.org/10.1080/19331681.2025.2458036</w:t>
        </w:r>
      </w:hyperlink>
      <w:r w:rsidRPr="0073508F">
        <w:rPr>
          <w:lang w:val="en-GB"/>
        </w:rPr>
        <w:t>.</w:t>
      </w:r>
    </w:p>
    <w:p w14:paraId="0C1B77BB" w14:textId="77777777" w:rsidR="0073508F" w:rsidRPr="0073508F" w:rsidRDefault="0073508F" w:rsidP="0073508F">
      <w:pPr>
        <w:pStyle w:val="Bibliografa"/>
        <w:rPr>
          <w:lang w:val="en-GB"/>
        </w:rPr>
      </w:pPr>
      <w:r w:rsidRPr="0073508F">
        <w:rPr>
          <w:lang w:val="en-GB"/>
        </w:rPr>
        <w:t xml:space="preserve">Votta, Fabio, Tom Dobber, Benjamin Guinaudeau, Natali Helberger, y Claes De Vreese. 2025. «The Cost of Reach: Testing the Role of Ad Delivery Algorithms in Online Political Campaigns». </w:t>
      </w:r>
      <w:r w:rsidRPr="0073508F">
        <w:rPr>
          <w:i/>
          <w:iCs/>
          <w:lang w:val="en-GB"/>
        </w:rPr>
        <w:t>Political Communication</w:t>
      </w:r>
      <w:r w:rsidRPr="0073508F">
        <w:rPr>
          <w:lang w:val="en-GB"/>
        </w:rPr>
        <w:t xml:space="preserve"> 42 (3): 476-508. </w:t>
      </w:r>
      <w:hyperlink r:id="rId80" w:history="1">
        <w:r w:rsidRPr="0073508F">
          <w:rPr>
            <w:rStyle w:val="Hipervnculo"/>
            <w:lang w:val="en-GB"/>
          </w:rPr>
          <w:t>https://doi.org/10.1080/10584609.2024.2439317</w:t>
        </w:r>
      </w:hyperlink>
      <w:r w:rsidRPr="0073508F">
        <w:rPr>
          <w:lang w:val="en-GB"/>
        </w:rPr>
        <w:t>.</w:t>
      </w:r>
    </w:p>
    <w:p w14:paraId="14CCFEC1" w14:textId="77777777" w:rsidR="0073508F" w:rsidRPr="0073508F" w:rsidRDefault="0073508F" w:rsidP="0073508F">
      <w:pPr>
        <w:pStyle w:val="Bibliografa"/>
        <w:rPr>
          <w:lang w:val="en-GB"/>
        </w:rPr>
      </w:pPr>
      <w:r w:rsidRPr="0073508F">
        <w:rPr>
          <w:lang w:val="en-GB"/>
        </w:rPr>
        <w:t xml:space="preserve">Wang, Yu, Wen Qu, y Xin Ye. 2024. «Selecting Between BERT and GPT for Text Classification in Political Science Research». arXiv:2411.05050. Preprint, arXiv, noviembre 7. </w:t>
      </w:r>
      <w:hyperlink r:id="rId81" w:history="1">
        <w:r w:rsidRPr="0073508F">
          <w:rPr>
            <w:rStyle w:val="Hipervnculo"/>
            <w:lang w:val="en-GB"/>
          </w:rPr>
          <w:t>https://doi.org/10.48550/arXiv.2411.05050</w:t>
        </w:r>
      </w:hyperlink>
      <w:r w:rsidRPr="0073508F">
        <w:rPr>
          <w:lang w:val="en-GB"/>
        </w:rPr>
        <w:t>.</w:t>
      </w:r>
    </w:p>
    <w:p w14:paraId="1755DFF9" w14:textId="77777777" w:rsidR="0073508F" w:rsidRPr="0073508F" w:rsidRDefault="0073508F" w:rsidP="0073508F">
      <w:pPr>
        <w:pStyle w:val="Bibliografa"/>
        <w:rPr>
          <w:lang w:val="en-GB"/>
        </w:rPr>
      </w:pPr>
      <w:r w:rsidRPr="0073508F">
        <w:rPr>
          <w:lang w:val="en-GB"/>
        </w:rPr>
        <w:t xml:space="preserve">Zuiderveen Borgesius, Frederik J., Judith Möller, Sanne Kruikemeier, et al. 2018. «Online Political Microtargeting: Promises and Threats for Democracy». </w:t>
      </w:r>
      <w:r w:rsidRPr="0073508F">
        <w:rPr>
          <w:i/>
          <w:iCs/>
          <w:lang w:val="en-GB"/>
        </w:rPr>
        <w:t>Utrecht Law Review</w:t>
      </w:r>
      <w:r w:rsidRPr="0073508F">
        <w:rPr>
          <w:lang w:val="en-GB"/>
        </w:rPr>
        <w:t xml:space="preserve"> 14 (1): 82. </w:t>
      </w:r>
      <w:hyperlink r:id="rId82" w:history="1">
        <w:r w:rsidRPr="0073508F">
          <w:rPr>
            <w:rStyle w:val="Hipervnculo"/>
            <w:lang w:val="en-GB"/>
          </w:rPr>
          <w:t>https://doi.org/10.18352/ulr.420</w:t>
        </w:r>
      </w:hyperlink>
      <w:r w:rsidRPr="0073508F">
        <w:rPr>
          <w:lang w:val="en-GB"/>
        </w:rPr>
        <w:t>.</w:t>
      </w:r>
    </w:p>
    <w:p w14:paraId="775F0F2E" w14:textId="547E0D3A" w:rsidR="00BA5408" w:rsidRPr="0080590C" w:rsidRDefault="009B6922" w:rsidP="0073508F">
      <w:pPr>
        <w:pStyle w:val="Bibliografa"/>
      </w:pPr>
      <w:r>
        <w:fldChar w:fldCharType="end"/>
      </w:r>
    </w:p>
    <w:sectPr w:rsidR="00BA5408" w:rsidRPr="0080590C">
      <w:footerReference w:type="default" r:id="rId8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9ABA8" w14:textId="77777777" w:rsidR="001F6277" w:rsidRDefault="001F6277" w:rsidP="00BA5408">
      <w:r>
        <w:separator/>
      </w:r>
    </w:p>
  </w:endnote>
  <w:endnote w:type="continuationSeparator" w:id="0">
    <w:p w14:paraId="352C5ACE" w14:textId="77777777" w:rsidR="001F6277" w:rsidRDefault="001F6277" w:rsidP="00BA5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0304692"/>
      <w:docPartObj>
        <w:docPartGallery w:val="Page Numbers (Bottom of Page)"/>
        <w:docPartUnique/>
      </w:docPartObj>
    </w:sdtPr>
    <w:sdtContent>
      <w:p w14:paraId="7829A82E" w14:textId="76A33853" w:rsidR="00470F26" w:rsidRDefault="00470F26">
        <w:pPr>
          <w:pStyle w:val="Piedepgina"/>
          <w:jc w:val="right"/>
        </w:pPr>
        <w:r>
          <w:fldChar w:fldCharType="begin"/>
        </w:r>
        <w:r>
          <w:instrText>PAGE   \* MERGEFORMAT</w:instrText>
        </w:r>
        <w:r>
          <w:fldChar w:fldCharType="separate"/>
        </w:r>
        <w:r>
          <w:rPr>
            <w:lang w:val="es-ES"/>
          </w:rPr>
          <w:t>2</w:t>
        </w:r>
        <w:r>
          <w:fldChar w:fldCharType="end"/>
        </w:r>
      </w:p>
    </w:sdtContent>
  </w:sdt>
  <w:p w14:paraId="0EBF6FBB" w14:textId="77777777" w:rsidR="00470F26" w:rsidRDefault="00470F2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6F4E2" w14:textId="77777777" w:rsidR="001F6277" w:rsidRDefault="001F6277" w:rsidP="00BA5408">
      <w:r>
        <w:separator/>
      </w:r>
    </w:p>
  </w:footnote>
  <w:footnote w:type="continuationSeparator" w:id="0">
    <w:p w14:paraId="1EA9408E" w14:textId="77777777" w:rsidR="001F6277" w:rsidRDefault="001F6277" w:rsidP="00BA5408">
      <w:r>
        <w:continuationSeparator/>
      </w:r>
    </w:p>
  </w:footnote>
  <w:footnote w:id="1">
    <w:p w14:paraId="51278A89" w14:textId="3D332338" w:rsidR="009B118F" w:rsidRDefault="009B118F">
      <w:pPr>
        <w:pStyle w:val="Textonotapie"/>
      </w:pPr>
      <w:r>
        <w:rPr>
          <w:rStyle w:val="Refdenotaalpie"/>
        </w:rPr>
        <w:footnoteRef/>
      </w:r>
      <w:r>
        <w:t xml:space="preserve"> Para más información sobre las posibilidades de segmentación </w:t>
      </w:r>
      <w:r w:rsidRPr="00056B0D">
        <w:t>https://www.facebook.com/business/ads/ad-targeting</w:t>
      </w:r>
    </w:p>
  </w:footnote>
  <w:footnote w:id="2">
    <w:p w14:paraId="2513B562" w14:textId="6BFF150E" w:rsidR="009B118F" w:rsidRPr="00CD44EF" w:rsidRDefault="009B118F" w:rsidP="00C22E9A">
      <w:pPr>
        <w:pStyle w:val="Textonotapie"/>
        <w:spacing w:line="360" w:lineRule="auto"/>
      </w:pPr>
      <w:r w:rsidRPr="008F46EA">
        <w:rPr>
          <w:rStyle w:val="Refdenotaalpie"/>
        </w:rPr>
        <w:footnoteRef/>
      </w:r>
      <w:r w:rsidRPr="00CD44EF">
        <w:t xml:space="preserve"> </w:t>
      </w:r>
      <w:r w:rsidRPr="0085014A">
        <w:t>Cómo parte de su estrategia de transparencia Meta creó la Biblioteca de Anuncios sobre temas políticos y sociales en 201</w:t>
      </w:r>
      <w:r>
        <w:t>9. En este repositorio</w:t>
      </w:r>
      <w:r w:rsidRPr="0085014A">
        <w:t xml:space="preserve"> se pueden encontrar, luego de identificarse en la plataforma, todos los anuncios marcados con contenido político, publicidad política o están relacionados con </w:t>
      </w:r>
      <w:r>
        <w:t>temas sociales y políticos</w:t>
      </w:r>
      <w:r w:rsidRPr="0085014A">
        <w:t>.</w:t>
      </w:r>
      <w:r>
        <w:t xml:space="preserve"> P</w:t>
      </w:r>
      <w:r w:rsidRPr="00CD44EF">
        <w:t>ara</w:t>
      </w:r>
      <w:r>
        <w:t xml:space="preserve"> más información sobre el funcionamiento de la API de anuncios de Meta, v</w:t>
      </w:r>
      <w:r w:rsidRPr="00CD44EF">
        <w:t xml:space="preserve">er </w:t>
      </w:r>
      <w:hyperlink r:id="rId1" w:history="1">
        <w:r w:rsidRPr="00CD44EF">
          <w:rPr>
            <w:rStyle w:val="Hipervnculo"/>
          </w:rPr>
          <w:t>https://www.facebook.com/ads/library/api</w:t>
        </w:r>
      </w:hyperlink>
      <w:r>
        <w:t xml:space="preserve">, visitado por última vez el 14 de agosto de 2025. </w:t>
      </w:r>
      <w:r w:rsidRPr="00CD44EF">
        <w:t xml:space="preserve"> </w:t>
      </w:r>
    </w:p>
  </w:footnote>
  <w:footnote w:id="3">
    <w:p w14:paraId="7506A277" w14:textId="1D667B0C" w:rsidR="009B118F" w:rsidRDefault="009B118F">
      <w:pPr>
        <w:pStyle w:val="Textonotapie"/>
      </w:pPr>
      <w:r w:rsidRPr="008F46EA">
        <w:rPr>
          <w:rStyle w:val="Refdenotaalpie"/>
        </w:rPr>
        <w:footnoteRef/>
      </w:r>
      <w:r>
        <w:t xml:space="preserve"> </w:t>
      </w:r>
      <w:r w:rsidRPr="004A6D88">
        <w:t>https://github.com/schmokel/FBAdLibrarian</w:t>
      </w:r>
    </w:p>
  </w:footnote>
  <w:footnote w:id="4">
    <w:p w14:paraId="7F6820FD" w14:textId="600BE83D" w:rsidR="009B118F" w:rsidRDefault="009B118F">
      <w:pPr>
        <w:pStyle w:val="Textonotapie"/>
      </w:pPr>
      <w:r w:rsidRPr="008F46EA">
        <w:rPr>
          <w:rStyle w:val="Refdenotaalpie"/>
        </w:rPr>
        <w:footnoteRef/>
      </w:r>
      <w:r>
        <w:t xml:space="preserve"> </w:t>
      </w:r>
      <w:r w:rsidRPr="004F3CEF">
        <w:t>https://www.ffmpeg.org/</w:t>
      </w:r>
    </w:p>
  </w:footnote>
  <w:footnote w:id="5">
    <w:p w14:paraId="3A147238" w14:textId="5CAFE680" w:rsidR="009B118F" w:rsidRPr="00E97216" w:rsidRDefault="009B118F" w:rsidP="007A3CC8">
      <w:pPr>
        <w:pStyle w:val="Textonotapie"/>
      </w:pPr>
      <w:r w:rsidRPr="008F46EA">
        <w:rPr>
          <w:rStyle w:val="Refdenotaalpie"/>
        </w:rPr>
        <w:footnoteRef/>
      </w:r>
      <w:r w:rsidRPr="00E97216">
        <w:t xml:space="preserve"> </w:t>
      </w:r>
      <w:r w:rsidRPr="00C1060D">
        <w:t xml:space="preserve">El conjunto de datos de entrenamiento utilizado para Whisper comprende 680.000 horas de audio, incluidas 107.000 horas de datos multilingües, esto permite a Whisper ofrecer un rendimiento sólido en variedad de idiomas, incluido el español. </w:t>
      </w:r>
      <w:r>
        <w:t xml:space="preserve">Para más información </w:t>
      </w:r>
      <w:hyperlink r:id="rId2" w:history="1">
        <w:r w:rsidRPr="00703D12">
          <w:rPr>
            <w:rStyle w:val="Hipervnculo"/>
          </w:rPr>
          <w:t>https://github.com/openai/whisper</w:t>
        </w:r>
      </w:hyperlink>
      <w:r>
        <w:t>.</w:t>
      </w:r>
    </w:p>
  </w:footnote>
  <w:footnote w:id="6">
    <w:p w14:paraId="21740F11" w14:textId="77777777" w:rsidR="009B118F" w:rsidRPr="00E97216" w:rsidRDefault="009B118F" w:rsidP="00CF0DB6">
      <w:pPr>
        <w:pStyle w:val="Textonotapie"/>
      </w:pPr>
      <w:r w:rsidRPr="008F46EA">
        <w:rPr>
          <w:rStyle w:val="Refdenotaalpie"/>
        </w:rPr>
        <w:footnoteRef/>
      </w:r>
      <w:r w:rsidRPr="00E97216">
        <w:t xml:space="preserve"> https://cloud.google.com/vision/</w:t>
      </w:r>
    </w:p>
  </w:footnote>
  <w:footnote w:id="7">
    <w:p w14:paraId="392EF7D7" w14:textId="1AD10CC7" w:rsidR="009B118F" w:rsidRDefault="009B118F" w:rsidP="0088709D">
      <w:pPr>
        <w:pStyle w:val="Textonotapie"/>
      </w:pPr>
      <w:r w:rsidRPr="008F46EA">
        <w:rPr>
          <w:rStyle w:val="Refdenotaalpie"/>
        </w:rPr>
        <w:footnoteRef/>
      </w:r>
      <w:r>
        <w:t xml:space="preserve"> </w:t>
      </w:r>
      <w:r w:rsidRPr="0088709D">
        <w:t xml:space="preserve">La formación incluyó sesiones conjuntas de lectura del manual de codificación y discusión de criterios. </w:t>
      </w:r>
    </w:p>
  </w:footnote>
  <w:footnote w:id="8">
    <w:p w14:paraId="13AC59E0" w14:textId="0C9A70A4" w:rsidR="00470F26" w:rsidRDefault="00470F26">
      <w:pPr>
        <w:pStyle w:val="Textonotapie"/>
      </w:pPr>
      <w:r>
        <w:rPr>
          <w:rStyle w:val="Refdenotaalpie"/>
        </w:rPr>
        <w:footnoteRef/>
      </w:r>
      <w:r>
        <w:t xml:space="preserve"> E</w:t>
      </w:r>
      <w:r w:rsidRPr="00470F26">
        <w:t>lementos visuales, diseños, símbolos partidarios, tonos de voz o músicas distintivas</w:t>
      </w:r>
      <w:r>
        <w:t xml:space="preserve"> no son incorporados al análisis</w:t>
      </w:r>
      <w:r w:rsidRPr="00470F26">
        <w:t xml:space="preserve">. </w:t>
      </w:r>
      <w:r>
        <w:t>E</w:t>
      </w:r>
      <w:r w:rsidRPr="00470F26">
        <w:t>l modelo tiende a confundir anuncios con límites difusos. A su vez, las transcripciones pueden generar ruido que no ayuda al clasificador</w:t>
      </w:r>
      <w:r>
        <w:t>. Todo e</w:t>
      </w:r>
      <w:r w:rsidRPr="00470F26">
        <w:t>sto limita la capacidad del clasificador para capturar integralmente los tipos de anuncios.</w:t>
      </w:r>
    </w:p>
  </w:footnote>
  <w:footnote w:id="9">
    <w:p w14:paraId="269467BF" w14:textId="77777777" w:rsidR="001F65E8" w:rsidRPr="001F65E8" w:rsidRDefault="001F65E8" w:rsidP="001F65E8">
      <w:pPr>
        <w:spacing w:after="0" w:line="240" w:lineRule="auto"/>
        <w:ind w:firstLine="708"/>
        <w:rPr>
          <w:sz w:val="20"/>
          <w:szCs w:val="20"/>
        </w:rPr>
      </w:pPr>
      <w:r>
        <w:rPr>
          <w:rStyle w:val="Refdenotaalpie"/>
        </w:rPr>
        <w:footnoteRef/>
      </w:r>
      <w:r>
        <w:t xml:space="preserve"> </w:t>
      </w:r>
      <w:r w:rsidRPr="001F65E8">
        <w:rPr>
          <w:sz w:val="20"/>
          <w:szCs w:val="20"/>
        </w:rPr>
        <w:t>A pesar de que el clasificador alcanza desempeños aceptables, presenta debilidades que deben ser consideradas al interpretar los resultados. El desbalance en la cantidad de anuncios de cada tipo en el subconjunto de entrenamiento influye en el desempeño general y puede inducir al modelo a preferir predicciones conservadoras sobre los tipos más frecuentes</w:t>
      </w:r>
      <w:r>
        <w:rPr>
          <w:sz w:val="20"/>
          <w:szCs w:val="20"/>
        </w:rPr>
        <w:t>,</w:t>
      </w:r>
      <w:r w:rsidRPr="001F65E8">
        <w:rPr>
          <w:sz w:val="20"/>
          <w:szCs w:val="20"/>
        </w:rPr>
        <w:t xml:space="preserve"> como promoción y tema, afectando la capacidad para detectar mensajes de ataque o contenidos menos representados. </w:t>
      </w:r>
    </w:p>
    <w:p w14:paraId="265CDD56" w14:textId="77777777" w:rsidR="001F65E8" w:rsidRDefault="001F65E8" w:rsidP="001F65E8">
      <w:pPr>
        <w:pStyle w:val="Textonotapie"/>
      </w:pPr>
    </w:p>
  </w:footnote>
  <w:footnote w:id="10">
    <w:p w14:paraId="704E91DF" w14:textId="77777777" w:rsidR="001F65E8" w:rsidRPr="001F65E8" w:rsidRDefault="001F65E8" w:rsidP="001F65E8">
      <w:pPr>
        <w:spacing w:after="0" w:line="240" w:lineRule="auto"/>
        <w:ind w:firstLine="708"/>
        <w:rPr>
          <w:sz w:val="20"/>
          <w:szCs w:val="20"/>
        </w:rPr>
      </w:pPr>
      <w:r>
        <w:rPr>
          <w:rStyle w:val="Refdenotaalpie"/>
        </w:rPr>
        <w:footnoteRef/>
      </w:r>
      <w:r>
        <w:t xml:space="preserve"> </w:t>
      </w:r>
      <w:r w:rsidRPr="001F65E8">
        <w:rPr>
          <w:sz w:val="20"/>
          <w:szCs w:val="20"/>
        </w:rPr>
        <w:t xml:space="preserve">Las estimaciones producidas por el clasificador deben interpretarse como aproximaciones probabilísticas y no como mediciones exactas del contenido. </w:t>
      </w:r>
    </w:p>
    <w:p w14:paraId="35485C71" w14:textId="113F1632" w:rsidR="001F65E8" w:rsidRDefault="001F65E8">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6388EA8"/>
    <w:lvl w:ilvl="0">
      <w:start w:val="1"/>
      <w:numFmt w:val="bullet"/>
      <w:pStyle w:val="Listaconvietas"/>
      <w:lvlText w:val=""/>
      <w:lvlJc w:val="left"/>
      <w:pPr>
        <w:tabs>
          <w:tab w:val="num" w:pos="360"/>
        </w:tabs>
        <w:ind w:left="360" w:hanging="360"/>
      </w:pPr>
      <w:rPr>
        <w:rFonts w:ascii="Symbol" w:hAnsi="Symbol" w:hint="default"/>
      </w:rPr>
    </w:lvl>
  </w:abstractNum>
  <w:num w:numId="1" w16cid:durableId="159909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88F"/>
    <w:rsid w:val="0002084B"/>
    <w:rsid w:val="0003084D"/>
    <w:rsid w:val="00046390"/>
    <w:rsid w:val="00056B0D"/>
    <w:rsid w:val="00061B92"/>
    <w:rsid w:val="00065621"/>
    <w:rsid w:val="00067E0C"/>
    <w:rsid w:val="000835CD"/>
    <w:rsid w:val="00086124"/>
    <w:rsid w:val="00087939"/>
    <w:rsid w:val="00091551"/>
    <w:rsid w:val="000B033E"/>
    <w:rsid w:val="000B5C22"/>
    <w:rsid w:val="000B79D6"/>
    <w:rsid w:val="000D74FA"/>
    <w:rsid w:val="00112ADA"/>
    <w:rsid w:val="001171C3"/>
    <w:rsid w:val="00124AC6"/>
    <w:rsid w:val="00124B6F"/>
    <w:rsid w:val="001274C5"/>
    <w:rsid w:val="001332F3"/>
    <w:rsid w:val="001372C5"/>
    <w:rsid w:val="00147850"/>
    <w:rsid w:val="001507A5"/>
    <w:rsid w:val="001514F3"/>
    <w:rsid w:val="00152F0C"/>
    <w:rsid w:val="00152F3E"/>
    <w:rsid w:val="001612B0"/>
    <w:rsid w:val="001730A7"/>
    <w:rsid w:val="00174482"/>
    <w:rsid w:val="001800B4"/>
    <w:rsid w:val="00181DA3"/>
    <w:rsid w:val="00182602"/>
    <w:rsid w:val="00190E10"/>
    <w:rsid w:val="001A13F8"/>
    <w:rsid w:val="001B3736"/>
    <w:rsid w:val="001B4E74"/>
    <w:rsid w:val="001D25DD"/>
    <w:rsid w:val="001E3270"/>
    <w:rsid w:val="001F6277"/>
    <w:rsid w:val="001F65E8"/>
    <w:rsid w:val="002031D7"/>
    <w:rsid w:val="002200E3"/>
    <w:rsid w:val="002217FC"/>
    <w:rsid w:val="00225085"/>
    <w:rsid w:val="00232EF0"/>
    <w:rsid w:val="00247025"/>
    <w:rsid w:val="00253E1F"/>
    <w:rsid w:val="00267A24"/>
    <w:rsid w:val="002830A7"/>
    <w:rsid w:val="002910E0"/>
    <w:rsid w:val="002A48EB"/>
    <w:rsid w:val="002A6E67"/>
    <w:rsid w:val="002B142A"/>
    <w:rsid w:val="002B31D5"/>
    <w:rsid w:val="002C78E2"/>
    <w:rsid w:val="002D6466"/>
    <w:rsid w:val="002E41BD"/>
    <w:rsid w:val="002F14D9"/>
    <w:rsid w:val="002F33DB"/>
    <w:rsid w:val="002F40A8"/>
    <w:rsid w:val="00306F07"/>
    <w:rsid w:val="003101FF"/>
    <w:rsid w:val="00311300"/>
    <w:rsid w:val="003323BA"/>
    <w:rsid w:val="00332D26"/>
    <w:rsid w:val="00341EC8"/>
    <w:rsid w:val="00345AF7"/>
    <w:rsid w:val="00355B05"/>
    <w:rsid w:val="00384A9D"/>
    <w:rsid w:val="003A5DBF"/>
    <w:rsid w:val="003A7558"/>
    <w:rsid w:val="003B59BE"/>
    <w:rsid w:val="003B629E"/>
    <w:rsid w:val="003B69CC"/>
    <w:rsid w:val="003D3344"/>
    <w:rsid w:val="003D43B5"/>
    <w:rsid w:val="003D47B9"/>
    <w:rsid w:val="003F788F"/>
    <w:rsid w:val="004057B6"/>
    <w:rsid w:val="00421A46"/>
    <w:rsid w:val="00422344"/>
    <w:rsid w:val="00444A20"/>
    <w:rsid w:val="0044616E"/>
    <w:rsid w:val="00446910"/>
    <w:rsid w:val="00470F26"/>
    <w:rsid w:val="00471607"/>
    <w:rsid w:val="00476CA0"/>
    <w:rsid w:val="004848DC"/>
    <w:rsid w:val="00491ADB"/>
    <w:rsid w:val="004A6D88"/>
    <w:rsid w:val="004B7C55"/>
    <w:rsid w:val="004C532F"/>
    <w:rsid w:val="004F3CEF"/>
    <w:rsid w:val="004F4293"/>
    <w:rsid w:val="004F5A69"/>
    <w:rsid w:val="0050546F"/>
    <w:rsid w:val="00514C84"/>
    <w:rsid w:val="00522FD3"/>
    <w:rsid w:val="00523ABD"/>
    <w:rsid w:val="00535C34"/>
    <w:rsid w:val="00547133"/>
    <w:rsid w:val="005527C5"/>
    <w:rsid w:val="00557771"/>
    <w:rsid w:val="00560B14"/>
    <w:rsid w:val="00563940"/>
    <w:rsid w:val="00574E8B"/>
    <w:rsid w:val="00576F4C"/>
    <w:rsid w:val="00581BE7"/>
    <w:rsid w:val="005829D0"/>
    <w:rsid w:val="00594796"/>
    <w:rsid w:val="005B0934"/>
    <w:rsid w:val="005B50AD"/>
    <w:rsid w:val="005C28CF"/>
    <w:rsid w:val="005C45FB"/>
    <w:rsid w:val="005C775D"/>
    <w:rsid w:val="005D6B89"/>
    <w:rsid w:val="005E74B7"/>
    <w:rsid w:val="0062486C"/>
    <w:rsid w:val="00625313"/>
    <w:rsid w:val="00625328"/>
    <w:rsid w:val="006368C2"/>
    <w:rsid w:val="00640961"/>
    <w:rsid w:val="00664BA4"/>
    <w:rsid w:val="00673758"/>
    <w:rsid w:val="00677470"/>
    <w:rsid w:val="00686629"/>
    <w:rsid w:val="00693ED2"/>
    <w:rsid w:val="006A2773"/>
    <w:rsid w:val="006C0321"/>
    <w:rsid w:val="006C072E"/>
    <w:rsid w:val="006C6245"/>
    <w:rsid w:val="006D2C1E"/>
    <w:rsid w:val="006F2218"/>
    <w:rsid w:val="00702370"/>
    <w:rsid w:val="00713F72"/>
    <w:rsid w:val="00717706"/>
    <w:rsid w:val="0072317B"/>
    <w:rsid w:val="00732246"/>
    <w:rsid w:val="0073508F"/>
    <w:rsid w:val="00737554"/>
    <w:rsid w:val="00742CDD"/>
    <w:rsid w:val="007448F5"/>
    <w:rsid w:val="00753FD8"/>
    <w:rsid w:val="00761846"/>
    <w:rsid w:val="00773A7D"/>
    <w:rsid w:val="007A3BB0"/>
    <w:rsid w:val="007A3CC8"/>
    <w:rsid w:val="007A57CF"/>
    <w:rsid w:val="007B5ACF"/>
    <w:rsid w:val="007D6045"/>
    <w:rsid w:val="007E439C"/>
    <w:rsid w:val="007F154D"/>
    <w:rsid w:val="007F21DD"/>
    <w:rsid w:val="007F5B7E"/>
    <w:rsid w:val="00800C8C"/>
    <w:rsid w:val="0080590C"/>
    <w:rsid w:val="008129D8"/>
    <w:rsid w:val="00816975"/>
    <w:rsid w:val="00830857"/>
    <w:rsid w:val="00831D35"/>
    <w:rsid w:val="0084175D"/>
    <w:rsid w:val="0085014A"/>
    <w:rsid w:val="0088415F"/>
    <w:rsid w:val="0088709D"/>
    <w:rsid w:val="00890CC4"/>
    <w:rsid w:val="008A6A36"/>
    <w:rsid w:val="008B3489"/>
    <w:rsid w:val="008C67CB"/>
    <w:rsid w:val="008D3865"/>
    <w:rsid w:val="008F1BA8"/>
    <w:rsid w:val="008F2795"/>
    <w:rsid w:val="008F46EA"/>
    <w:rsid w:val="00907E44"/>
    <w:rsid w:val="00910ED3"/>
    <w:rsid w:val="00915539"/>
    <w:rsid w:val="009179A9"/>
    <w:rsid w:val="009215D4"/>
    <w:rsid w:val="00936F41"/>
    <w:rsid w:val="00941A72"/>
    <w:rsid w:val="0095516F"/>
    <w:rsid w:val="009748B3"/>
    <w:rsid w:val="009839B7"/>
    <w:rsid w:val="0098558C"/>
    <w:rsid w:val="009B118F"/>
    <w:rsid w:val="009B5B6D"/>
    <w:rsid w:val="009B5BD2"/>
    <w:rsid w:val="009B6922"/>
    <w:rsid w:val="009C0E52"/>
    <w:rsid w:val="009D54CD"/>
    <w:rsid w:val="00A2161C"/>
    <w:rsid w:val="00A23EFB"/>
    <w:rsid w:val="00A30D28"/>
    <w:rsid w:val="00A400AA"/>
    <w:rsid w:val="00A41240"/>
    <w:rsid w:val="00A431B9"/>
    <w:rsid w:val="00A44C65"/>
    <w:rsid w:val="00A51E5B"/>
    <w:rsid w:val="00A52A69"/>
    <w:rsid w:val="00A66F2B"/>
    <w:rsid w:val="00A712FB"/>
    <w:rsid w:val="00A90A70"/>
    <w:rsid w:val="00AC08C8"/>
    <w:rsid w:val="00AD5F9F"/>
    <w:rsid w:val="00AE0D64"/>
    <w:rsid w:val="00AE184E"/>
    <w:rsid w:val="00AE2EAA"/>
    <w:rsid w:val="00AE3D1B"/>
    <w:rsid w:val="00B2224D"/>
    <w:rsid w:val="00BA1946"/>
    <w:rsid w:val="00BA1ED3"/>
    <w:rsid w:val="00BA5408"/>
    <w:rsid w:val="00BB044A"/>
    <w:rsid w:val="00BB0CB4"/>
    <w:rsid w:val="00BC1418"/>
    <w:rsid w:val="00BD1BC1"/>
    <w:rsid w:val="00BF026B"/>
    <w:rsid w:val="00BF29F9"/>
    <w:rsid w:val="00C00336"/>
    <w:rsid w:val="00C1060D"/>
    <w:rsid w:val="00C10B7F"/>
    <w:rsid w:val="00C172FA"/>
    <w:rsid w:val="00C22E9A"/>
    <w:rsid w:val="00C258D3"/>
    <w:rsid w:val="00C31060"/>
    <w:rsid w:val="00C4333E"/>
    <w:rsid w:val="00C529EB"/>
    <w:rsid w:val="00C54DA5"/>
    <w:rsid w:val="00C62406"/>
    <w:rsid w:val="00C740EA"/>
    <w:rsid w:val="00C746DA"/>
    <w:rsid w:val="00C74782"/>
    <w:rsid w:val="00C84F5E"/>
    <w:rsid w:val="00C90AA8"/>
    <w:rsid w:val="00C942DB"/>
    <w:rsid w:val="00CA5D26"/>
    <w:rsid w:val="00CA7FCF"/>
    <w:rsid w:val="00CB242D"/>
    <w:rsid w:val="00CB2D07"/>
    <w:rsid w:val="00CC58DD"/>
    <w:rsid w:val="00CC790C"/>
    <w:rsid w:val="00CE0792"/>
    <w:rsid w:val="00CE1E33"/>
    <w:rsid w:val="00CF0DB6"/>
    <w:rsid w:val="00CF1EF1"/>
    <w:rsid w:val="00D02E35"/>
    <w:rsid w:val="00D11F2C"/>
    <w:rsid w:val="00D12DEA"/>
    <w:rsid w:val="00D164DE"/>
    <w:rsid w:val="00D46072"/>
    <w:rsid w:val="00D5218E"/>
    <w:rsid w:val="00D70976"/>
    <w:rsid w:val="00D84BC6"/>
    <w:rsid w:val="00DA7F5D"/>
    <w:rsid w:val="00DB484F"/>
    <w:rsid w:val="00DE500B"/>
    <w:rsid w:val="00DE7016"/>
    <w:rsid w:val="00DE7B3F"/>
    <w:rsid w:val="00E05B0B"/>
    <w:rsid w:val="00E07BC2"/>
    <w:rsid w:val="00E13372"/>
    <w:rsid w:val="00E1474D"/>
    <w:rsid w:val="00E20153"/>
    <w:rsid w:val="00E23A8A"/>
    <w:rsid w:val="00E26EC9"/>
    <w:rsid w:val="00E33652"/>
    <w:rsid w:val="00E34FBA"/>
    <w:rsid w:val="00E423AA"/>
    <w:rsid w:val="00E56145"/>
    <w:rsid w:val="00E56D00"/>
    <w:rsid w:val="00E7127B"/>
    <w:rsid w:val="00E72CBA"/>
    <w:rsid w:val="00E73688"/>
    <w:rsid w:val="00E84558"/>
    <w:rsid w:val="00E87341"/>
    <w:rsid w:val="00E92EEB"/>
    <w:rsid w:val="00E97216"/>
    <w:rsid w:val="00EA4957"/>
    <w:rsid w:val="00EA7A55"/>
    <w:rsid w:val="00ED52CB"/>
    <w:rsid w:val="00ED71BA"/>
    <w:rsid w:val="00EE2F73"/>
    <w:rsid w:val="00EE3C2B"/>
    <w:rsid w:val="00F05CA1"/>
    <w:rsid w:val="00F06352"/>
    <w:rsid w:val="00F13461"/>
    <w:rsid w:val="00F1570B"/>
    <w:rsid w:val="00F2017F"/>
    <w:rsid w:val="00F207FF"/>
    <w:rsid w:val="00F45717"/>
    <w:rsid w:val="00F54725"/>
    <w:rsid w:val="00F5688B"/>
    <w:rsid w:val="00F64740"/>
    <w:rsid w:val="00F71249"/>
    <w:rsid w:val="00F816D9"/>
    <w:rsid w:val="00F837F6"/>
    <w:rsid w:val="00F85C8B"/>
    <w:rsid w:val="00F9783F"/>
    <w:rsid w:val="00F97969"/>
    <w:rsid w:val="00FA00AB"/>
    <w:rsid w:val="00FA28E9"/>
    <w:rsid w:val="00FA62E7"/>
    <w:rsid w:val="00FB3854"/>
    <w:rsid w:val="00FC0C40"/>
    <w:rsid w:val="00FC5E27"/>
    <w:rsid w:val="00FD2F98"/>
    <w:rsid w:val="00FE2C5A"/>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321DE"/>
  <w15:chartTrackingRefBased/>
  <w15:docId w15:val="{2C5AA741-C86C-4B65-87B2-F5A3B5067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408"/>
    <w:pPr>
      <w:spacing w:line="360" w:lineRule="auto"/>
    </w:pPr>
    <w:rPr>
      <w:rFonts w:ascii="Times New Roman" w:hAnsi="Times New Roman" w:cs="Times New Roman"/>
    </w:rPr>
  </w:style>
  <w:style w:type="paragraph" w:styleId="Ttulo1">
    <w:name w:val="heading 1"/>
    <w:basedOn w:val="Normal"/>
    <w:next w:val="Normal"/>
    <w:link w:val="Ttulo1Car"/>
    <w:uiPriority w:val="9"/>
    <w:qFormat/>
    <w:rsid w:val="003F7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5688B"/>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3F78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78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78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78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78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78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78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78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5688B"/>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3F78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78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78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78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78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78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788F"/>
    <w:rPr>
      <w:rFonts w:eastAsiaTheme="majorEastAsia" w:cstheme="majorBidi"/>
      <w:color w:val="272727" w:themeColor="text1" w:themeTint="D8"/>
    </w:rPr>
  </w:style>
  <w:style w:type="paragraph" w:styleId="Ttulo">
    <w:name w:val="Title"/>
    <w:basedOn w:val="Normal"/>
    <w:next w:val="Normal"/>
    <w:link w:val="TtuloCar"/>
    <w:uiPriority w:val="10"/>
    <w:qFormat/>
    <w:rsid w:val="003F7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78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78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78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788F"/>
    <w:pPr>
      <w:spacing w:before="160"/>
      <w:jc w:val="center"/>
    </w:pPr>
    <w:rPr>
      <w:i/>
      <w:iCs/>
      <w:color w:val="404040" w:themeColor="text1" w:themeTint="BF"/>
    </w:rPr>
  </w:style>
  <w:style w:type="character" w:customStyle="1" w:styleId="CitaCar">
    <w:name w:val="Cita Car"/>
    <w:basedOn w:val="Fuentedeprrafopredeter"/>
    <w:link w:val="Cita"/>
    <w:uiPriority w:val="29"/>
    <w:rsid w:val="003F788F"/>
    <w:rPr>
      <w:i/>
      <w:iCs/>
      <w:color w:val="404040" w:themeColor="text1" w:themeTint="BF"/>
    </w:rPr>
  </w:style>
  <w:style w:type="paragraph" w:styleId="Prrafodelista">
    <w:name w:val="List Paragraph"/>
    <w:basedOn w:val="Normal"/>
    <w:uiPriority w:val="34"/>
    <w:qFormat/>
    <w:rsid w:val="003F788F"/>
    <w:pPr>
      <w:ind w:left="720"/>
      <w:contextualSpacing/>
    </w:pPr>
  </w:style>
  <w:style w:type="character" w:styleId="nfasisintenso">
    <w:name w:val="Intense Emphasis"/>
    <w:basedOn w:val="Fuentedeprrafopredeter"/>
    <w:uiPriority w:val="21"/>
    <w:qFormat/>
    <w:rsid w:val="003F788F"/>
    <w:rPr>
      <w:i/>
      <w:iCs/>
      <w:color w:val="0F4761" w:themeColor="accent1" w:themeShade="BF"/>
    </w:rPr>
  </w:style>
  <w:style w:type="paragraph" w:styleId="Citadestacada">
    <w:name w:val="Intense Quote"/>
    <w:basedOn w:val="Normal"/>
    <w:next w:val="Normal"/>
    <w:link w:val="CitadestacadaCar"/>
    <w:uiPriority w:val="30"/>
    <w:qFormat/>
    <w:rsid w:val="003F7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788F"/>
    <w:rPr>
      <w:i/>
      <w:iCs/>
      <w:color w:val="0F4761" w:themeColor="accent1" w:themeShade="BF"/>
    </w:rPr>
  </w:style>
  <w:style w:type="character" w:styleId="Referenciaintensa">
    <w:name w:val="Intense Reference"/>
    <w:basedOn w:val="Fuentedeprrafopredeter"/>
    <w:uiPriority w:val="32"/>
    <w:qFormat/>
    <w:rsid w:val="003F788F"/>
    <w:rPr>
      <w:b/>
      <w:bCs/>
      <w:smallCaps/>
      <w:color w:val="0F4761" w:themeColor="accent1" w:themeShade="BF"/>
      <w:spacing w:val="5"/>
    </w:rPr>
  </w:style>
  <w:style w:type="paragraph" w:styleId="Encabezado">
    <w:name w:val="header"/>
    <w:basedOn w:val="Normal"/>
    <w:link w:val="EncabezadoCar"/>
    <w:uiPriority w:val="99"/>
    <w:unhideWhenUsed/>
    <w:rsid w:val="002910E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10E0"/>
  </w:style>
  <w:style w:type="paragraph" w:styleId="Piedepgina">
    <w:name w:val="footer"/>
    <w:basedOn w:val="Normal"/>
    <w:link w:val="PiedepginaCar"/>
    <w:uiPriority w:val="99"/>
    <w:unhideWhenUsed/>
    <w:rsid w:val="002910E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10E0"/>
  </w:style>
  <w:style w:type="character" w:styleId="Refdecomentario">
    <w:name w:val="annotation reference"/>
    <w:basedOn w:val="Fuentedeprrafopredeter"/>
    <w:uiPriority w:val="99"/>
    <w:semiHidden/>
    <w:unhideWhenUsed/>
    <w:rsid w:val="00BA5408"/>
    <w:rPr>
      <w:sz w:val="16"/>
      <w:szCs w:val="16"/>
    </w:rPr>
  </w:style>
  <w:style w:type="paragraph" w:styleId="Textocomentario">
    <w:name w:val="annotation text"/>
    <w:basedOn w:val="Normal"/>
    <w:link w:val="TextocomentarioCar"/>
    <w:uiPriority w:val="99"/>
    <w:unhideWhenUsed/>
    <w:rsid w:val="00BA5408"/>
    <w:pPr>
      <w:spacing w:line="240" w:lineRule="auto"/>
    </w:pPr>
    <w:rPr>
      <w:sz w:val="20"/>
      <w:szCs w:val="20"/>
    </w:rPr>
  </w:style>
  <w:style w:type="character" w:customStyle="1" w:styleId="TextocomentarioCar">
    <w:name w:val="Texto comentario Car"/>
    <w:basedOn w:val="Fuentedeprrafopredeter"/>
    <w:link w:val="Textocomentario"/>
    <w:uiPriority w:val="99"/>
    <w:rsid w:val="00BA5408"/>
    <w:rPr>
      <w:sz w:val="20"/>
      <w:szCs w:val="20"/>
    </w:rPr>
  </w:style>
  <w:style w:type="paragraph" w:styleId="Asuntodelcomentario">
    <w:name w:val="annotation subject"/>
    <w:basedOn w:val="Textocomentario"/>
    <w:next w:val="Textocomentario"/>
    <w:link w:val="AsuntodelcomentarioCar"/>
    <w:uiPriority w:val="99"/>
    <w:semiHidden/>
    <w:unhideWhenUsed/>
    <w:rsid w:val="00BA5408"/>
    <w:rPr>
      <w:b/>
      <w:bCs/>
    </w:rPr>
  </w:style>
  <w:style w:type="character" w:customStyle="1" w:styleId="AsuntodelcomentarioCar">
    <w:name w:val="Asunto del comentario Car"/>
    <w:basedOn w:val="TextocomentarioCar"/>
    <w:link w:val="Asuntodelcomentario"/>
    <w:uiPriority w:val="99"/>
    <w:semiHidden/>
    <w:rsid w:val="00BA5408"/>
    <w:rPr>
      <w:b/>
      <w:bCs/>
      <w:sz w:val="20"/>
      <w:szCs w:val="20"/>
    </w:rPr>
  </w:style>
  <w:style w:type="paragraph" w:styleId="Textonotapie">
    <w:name w:val="footnote text"/>
    <w:basedOn w:val="Normal"/>
    <w:link w:val="TextonotapieCar"/>
    <w:uiPriority w:val="99"/>
    <w:semiHidden/>
    <w:unhideWhenUsed/>
    <w:rsid w:val="004A6D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A6D88"/>
    <w:rPr>
      <w:rFonts w:ascii="Times New Roman" w:hAnsi="Times New Roman" w:cs="Times New Roman"/>
      <w:sz w:val="20"/>
      <w:szCs w:val="20"/>
    </w:rPr>
  </w:style>
  <w:style w:type="character" w:styleId="Refdenotaalpie">
    <w:name w:val="footnote reference"/>
    <w:basedOn w:val="Fuentedeprrafopredeter"/>
    <w:uiPriority w:val="99"/>
    <w:semiHidden/>
    <w:unhideWhenUsed/>
    <w:rsid w:val="004A6D88"/>
    <w:rPr>
      <w:vertAlign w:val="superscript"/>
    </w:rPr>
  </w:style>
  <w:style w:type="table" w:styleId="Tablaconcuadrcula">
    <w:name w:val="Table Grid"/>
    <w:aliases w:val="Tabla paper"/>
    <w:basedOn w:val="Tablanormal"/>
    <w:uiPriority w:val="39"/>
    <w:rsid w:val="009748B3"/>
    <w:pPr>
      <w:spacing w:after="0" w:line="240" w:lineRule="auto"/>
    </w:pPr>
    <w:rPr>
      <w:rFonts w:ascii="Times New Roman" w:hAnsi="Times New Roman"/>
    </w:rPr>
    <w:tblPr>
      <w:tblBorders>
        <w:top w:val="single" w:sz="4" w:space="0" w:color="auto"/>
        <w:bottom w:val="single" w:sz="4" w:space="0" w:color="auto"/>
      </w:tblBorders>
    </w:tblPr>
    <w:tblStylePr w:type="firstRow">
      <w:pPr>
        <w:jc w:val="center"/>
      </w:pPr>
      <w:rPr>
        <w:b/>
      </w:rPr>
      <w:tblPr/>
      <w:tcPr>
        <w:tcBorders>
          <w:bottom w:val="single" w:sz="4" w:space="0" w:color="auto"/>
        </w:tcBorders>
        <w:vAlign w:val="center"/>
      </w:tcPr>
    </w:tblStylePr>
    <w:tblStylePr w:type="lastRow">
      <w:pPr>
        <w:jc w:val="left"/>
      </w:pPr>
      <w:tblPr/>
      <w:tcPr>
        <w:vAlign w:val="center"/>
      </w:tcPr>
    </w:tblStylePr>
  </w:style>
  <w:style w:type="character" w:styleId="Hipervnculo">
    <w:name w:val="Hyperlink"/>
    <w:basedOn w:val="Fuentedeprrafopredeter"/>
    <w:uiPriority w:val="99"/>
    <w:unhideWhenUsed/>
    <w:rsid w:val="004F3CEF"/>
    <w:rPr>
      <w:color w:val="467886" w:themeColor="hyperlink"/>
      <w:u w:val="single"/>
    </w:rPr>
  </w:style>
  <w:style w:type="character" w:styleId="Mencinsinresolver">
    <w:name w:val="Unresolved Mention"/>
    <w:basedOn w:val="Fuentedeprrafopredeter"/>
    <w:uiPriority w:val="99"/>
    <w:semiHidden/>
    <w:unhideWhenUsed/>
    <w:rsid w:val="004F3CEF"/>
    <w:rPr>
      <w:color w:val="605E5C"/>
      <w:shd w:val="clear" w:color="auto" w:fill="E1DFDD"/>
    </w:rPr>
  </w:style>
  <w:style w:type="table" w:styleId="Tablaconcuadrculaclara">
    <w:name w:val="Grid Table Light"/>
    <w:basedOn w:val="Tablanormal"/>
    <w:uiPriority w:val="40"/>
    <w:rsid w:val="00EA49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EA495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EA49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notaalfinal">
    <w:name w:val="endnote reference"/>
    <w:basedOn w:val="Fuentedeprrafopredeter"/>
    <w:uiPriority w:val="99"/>
    <w:semiHidden/>
    <w:unhideWhenUsed/>
    <w:rsid w:val="008F46EA"/>
    <w:rPr>
      <w:vertAlign w:val="superscript"/>
    </w:rPr>
  </w:style>
  <w:style w:type="paragraph" w:styleId="Listaconvietas">
    <w:name w:val="List Bullet"/>
    <w:basedOn w:val="Normal"/>
    <w:uiPriority w:val="99"/>
    <w:unhideWhenUsed/>
    <w:rsid w:val="008B3489"/>
    <w:pPr>
      <w:numPr>
        <w:numId w:val="1"/>
      </w:numPr>
      <w:contextualSpacing/>
    </w:pPr>
  </w:style>
  <w:style w:type="paragraph" w:styleId="Revisin">
    <w:name w:val="Revision"/>
    <w:hidden/>
    <w:uiPriority w:val="99"/>
    <w:semiHidden/>
    <w:rsid w:val="002F40A8"/>
    <w:pPr>
      <w:spacing w:after="0" w:line="240" w:lineRule="auto"/>
    </w:pPr>
    <w:rPr>
      <w:rFonts w:ascii="Times New Roman" w:hAnsi="Times New Roman" w:cs="Times New Roman"/>
    </w:rPr>
  </w:style>
  <w:style w:type="paragraph" w:styleId="Bibliografa">
    <w:name w:val="Bibliography"/>
    <w:basedOn w:val="Normal"/>
    <w:next w:val="Normal"/>
    <w:uiPriority w:val="37"/>
    <w:unhideWhenUsed/>
    <w:rsid w:val="009B6922"/>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0796-021-10133-9" TargetMode="External"/><Relationship Id="rId21" Type="http://schemas.openxmlformats.org/officeDocument/2006/relationships/image" Target="media/image10.png"/><Relationship Id="rId42" Type="http://schemas.openxmlformats.org/officeDocument/2006/relationships/hyperlink" Target="https://doi.org/10.1016/S0261-3794(97)00044-9" TargetMode="External"/><Relationship Id="rId47" Type="http://schemas.openxmlformats.org/officeDocument/2006/relationships/hyperlink" Target="https://doi.org/10.1080/1369118x.2013.782330" TargetMode="External"/><Relationship Id="rId63" Type="http://schemas.openxmlformats.org/officeDocument/2006/relationships/hyperlink" Target="https://doi.org/10.1016/j.csl.2025.101856" TargetMode="External"/><Relationship Id="rId68" Type="http://schemas.openxmlformats.org/officeDocument/2006/relationships/hyperlink" Target="https://doi.org/10.1080/19331680902996403" TargetMode="External"/><Relationship Id="rId84" Type="http://schemas.openxmlformats.org/officeDocument/2006/relationships/fontTable" Target="fontTable.xml"/><Relationship Id="rId16" Type="http://schemas.openxmlformats.org/officeDocument/2006/relationships/image" Target="media/image5.png"/><Relationship Id="rId11" Type="http://schemas.openxmlformats.org/officeDocument/2006/relationships/hyperlink" Target="https://www.zotero.org/google-docs/?7YSozD" TargetMode="External"/><Relationship Id="rId32" Type="http://schemas.openxmlformats.org/officeDocument/2006/relationships/hyperlink" Target="https://doi.org/10.14763/2020.1.1460" TargetMode="External"/><Relationship Id="rId37" Type="http://schemas.openxmlformats.org/officeDocument/2006/relationships/hyperlink" Target="https://doi.org/10.17645/mac.8520" TargetMode="External"/><Relationship Id="rId53" Type="http://schemas.openxmlformats.org/officeDocument/2006/relationships/hyperlink" Target="https://doi.org/10.1073/pnas.2305016120" TargetMode="External"/><Relationship Id="rId58" Type="http://schemas.openxmlformats.org/officeDocument/2006/relationships/hyperlink" Target="https://doi.org/10.1145/3097286.3097298" TargetMode="External"/><Relationship Id="rId74" Type="http://schemas.openxmlformats.org/officeDocument/2006/relationships/hyperlink" Target="https://doi.org/10.1080/19331681.2021.1928579" TargetMode="External"/><Relationship Id="rId79" Type="http://schemas.openxmlformats.org/officeDocument/2006/relationships/hyperlink" Target="https://doi.org/10.1080/19331681.2025.2458036" TargetMode="External"/><Relationship Id="rId5" Type="http://schemas.openxmlformats.org/officeDocument/2006/relationships/webSettings" Target="webSettings.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080/10584609.2017.1372999" TargetMode="External"/><Relationship Id="rId30" Type="http://schemas.openxmlformats.org/officeDocument/2006/relationships/hyperlink" Target="https://doi.org/10.1177/0956797615594620" TargetMode="External"/><Relationship Id="rId35" Type="http://schemas.openxmlformats.org/officeDocument/2006/relationships/hyperlink" Target="https://doi.org/10.1080/19331681.2012.709045" TargetMode="External"/><Relationship Id="rId43" Type="http://schemas.openxmlformats.org/officeDocument/2006/relationships/hyperlink" Target="https://doi.org/10.18653/v1/N19-1423" TargetMode="External"/><Relationship Id="rId48" Type="http://schemas.openxmlformats.org/officeDocument/2006/relationships/hyperlink" Target="https://doi.org/10.1177/1354068820985334" TargetMode="External"/><Relationship Id="rId56" Type="http://schemas.openxmlformats.org/officeDocument/2006/relationships/hyperlink" Target="https://hbr.org/2012/11/2012-the-first-big-data-electi" TargetMode="External"/><Relationship Id="rId64" Type="http://schemas.openxmlformats.org/officeDocument/2006/relationships/hyperlink" Target="https://doi.org/10.3390/app14114734" TargetMode="External"/><Relationship Id="rId69" Type="http://schemas.openxmlformats.org/officeDocument/2006/relationships/hyperlink" Target="https://www.hup.harvard.edu/books/9780674970847" TargetMode="External"/><Relationship Id="rId77" Type="http://schemas.openxmlformats.org/officeDocument/2006/relationships/hyperlink" Target="https://doi.org/10.1177/20563051211063465" TargetMode="External"/><Relationship Id="rId8" Type="http://schemas.openxmlformats.org/officeDocument/2006/relationships/hyperlink" Target="https://www.zotero.org/google-docs/?NDdYGJ" TargetMode="External"/><Relationship Id="rId51" Type="http://schemas.openxmlformats.org/officeDocument/2006/relationships/hyperlink" Target="https://doi.org/10.1093/acprof:oso/9780199965076.001.0001" TargetMode="External"/><Relationship Id="rId72" Type="http://schemas.openxmlformats.org/officeDocument/2006/relationships/hyperlink" Target="https://doi.org/10.1140/epjds/s13688-024-00502-0" TargetMode="External"/><Relationship Id="rId80" Type="http://schemas.openxmlformats.org/officeDocument/2006/relationships/hyperlink" Target="https://doi.org/10.1080/10584609.2024.2439317"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093/joc/jqy007" TargetMode="External"/><Relationship Id="rId33" Type="http://schemas.openxmlformats.org/officeDocument/2006/relationships/hyperlink" Target="https://doi.org/10.2139/ssrn.3589687" TargetMode="External"/><Relationship Id="rId38" Type="http://schemas.openxmlformats.org/officeDocument/2006/relationships/hyperlink" Target="https://doi.org/10.1080/10584609.2022.2128949" TargetMode="External"/><Relationship Id="rId46" Type="http://schemas.openxmlformats.org/officeDocument/2006/relationships/hyperlink" Target="https://doi.org/10.48550/arXiv.2403.17661" TargetMode="External"/><Relationship Id="rId59" Type="http://schemas.openxmlformats.org/officeDocument/2006/relationships/hyperlink" Target="https://aclanthology.org/2022.lrec-1.801/" TargetMode="External"/><Relationship Id="rId67" Type="http://schemas.openxmlformats.org/officeDocument/2006/relationships/hyperlink" Target="https://doi.org/10.1017/psrm.2024.64" TargetMode="External"/><Relationship Id="rId20" Type="http://schemas.openxmlformats.org/officeDocument/2006/relationships/image" Target="media/image9.png"/><Relationship Id="rId41" Type="http://schemas.openxmlformats.org/officeDocument/2006/relationships/hyperlink" Target="https://doi.org/10.1016/j.chb.2012.03.012" TargetMode="External"/><Relationship Id="rId54" Type="http://schemas.openxmlformats.org/officeDocument/2006/relationships/hyperlink" Target="https://doi.org/10.1080/07393148.2015.1125119" TargetMode="External"/><Relationship Id="rId62" Type="http://schemas.openxmlformats.org/officeDocument/2006/relationships/hyperlink" Target="https://doi.org/10.1080/19331681.2021.1936334" TargetMode="External"/><Relationship Id="rId70" Type="http://schemas.openxmlformats.org/officeDocument/2006/relationships/hyperlink" Target="https://doi.org/10.1017/9781009623018" TargetMode="External"/><Relationship Id="rId75" Type="http://schemas.openxmlformats.org/officeDocument/2006/relationships/hyperlink" Target="https://doi.org/10.1145/3543507.3583875"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4763/2019.4.1437" TargetMode="External"/><Relationship Id="rId36" Type="http://schemas.openxmlformats.org/officeDocument/2006/relationships/hyperlink" Target="https://doi.org/10.1038/s41598-025-96508-3" TargetMode="External"/><Relationship Id="rId49" Type="http://schemas.openxmlformats.org/officeDocument/2006/relationships/hyperlink" Target="https://aclanthology.org/2024.tdle-1.5/" TargetMode="External"/><Relationship Id="rId57" Type="http://schemas.openxmlformats.org/officeDocument/2006/relationships/hyperlink" Target="https://doi.org/10.1093/poq/nfs038" TargetMode="External"/><Relationship Id="rId10" Type="http://schemas.openxmlformats.org/officeDocument/2006/relationships/hyperlink" Target="https://www.zotero.org/google-docs/?mYGB8v" TargetMode="External"/><Relationship Id="rId31" Type="http://schemas.openxmlformats.org/officeDocument/2006/relationships/hyperlink" Target="https://doi.org/10.15581/003.35.3.33-49" TargetMode="External"/><Relationship Id="rId44" Type="http://schemas.openxmlformats.org/officeDocument/2006/relationships/hyperlink" Target="https://doi.org/10.1177/20539517221095433" TargetMode="External"/><Relationship Id="rId52" Type="http://schemas.openxmlformats.org/officeDocument/2006/relationships/hyperlink" Target="https://doi.org/10.1080/19331681.2024.2387634" TargetMode="External"/><Relationship Id="rId60" Type="http://schemas.openxmlformats.org/officeDocument/2006/relationships/hyperlink" Target="https://doi.org/10.1177/13540688241235901" TargetMode="External"/><Relationship Id="rId65" Type="http://schemas.openxmlformats.org/officeDocument/2006/relationships/hyperlink" Target="https://repositorio.utdt.edu/handle/20.500.13098/13262" TargetMode="External"/><Relationship Id="rId73" Type="http://schemas.openxmlformats.org/officeDocument/2006/relationships/hyperlink" Target="https://doi.org/10.4185/rlcs-2025-2442" TargetMode="External"/><Relationship Id="rId78" Type="http://schemas.openxmlformats.org/officeDocument/2006/relationships/hyperlink" Target="https://doi.org/10.2307/j.ctv8xnhtd" TargetMode="External"/><Relationship Id="rId81" Type="http://schemas.openxmlformats.org/officeDocument/2006/relationships/hyperlink" Target="https://doi.org/10.48550/arXiv.2411.05050" TargetMode="External"/><Relationship Id="rId4" Type="http://schemas.openxmlformats.org/officeDocument/2006/relationships/settings" Target="settings.xml"/><Relationship Id="rId9" Type="http://schemas.openxmlformats.org/officeDocument/2006/relationships/hyperlink" Target="https://www.zotero.org/google-docs/?hRD5xm"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22456/1982-5269.22615" TargetMode="External"/><Relationship Id="rId34" Type="http://schemas.openxmlformats.org/officeDocument/2006/relationships/hyperlink" Target="https://doi.org/10.1080/10510970109388546" TargetMode="External"/><Relationship Id="rId50" Type="http://schemas.openxmlformats.org/officeDocument/2006/relationships/hyperlink" Target="https://doi.org/10.1017/S0003055420000696" TargetMode="External"/><Relationship Id="rId55" Type="http://schemas.openxmlformats.org/officeDocument/2006/relationships/hyperlink" Target="https://kops.uni-konstanz.de/handle/123456789/45182" TargetMode="External"/><Relationship Id="rId76" Type="http://schemas.openxmlformats.org/officeDocument/2006/relationships/hyperlink" Target="https://doi.org/10.1080/19331681.2023.2231436" TargetMode="External"/><Relationship Id="rId7" Type="http://schemas.openxmlformats.org/officeDocument/2006/relationships/endnotes" Target="endnotes.xml"/><Relationship Id="rId71" Type="http://schemas.openxmlformats.org/officeDocument/2006/relationships/hyperlink" Target="https://doi.org/10.48550/arXiv.2212.04356" TargetMode="External"/><Relationship Id="rId2" Type="http://schemas.openxmlformats.org/officeDocument/2006/relationships/numbering" Target="numbering.xml"/><Relationship Id="rId29" Type="http://schemas.openxmlformats.org/officeDocument/2006/relationships/hyperlink" Target="https://doi.org/10.31274/cc-20240624-976" TargetMode="External"/><Relationship Id="rId24" Type="http://schemas.openxmlformats.org/officeDocument/2006/relationships/image" Target="media/image13.png"/><Relationship Id="rId40" Type="http://schemas.openxmlformats.org/officeDocument/2006/relationships/hyperlink" Target="https://doi.org/10.3991/ijim.v11i6.6876" TargetMode="External"/><Relationship Id="rId45" Type="http://schemas.openxmlformats.org/officeDocument/2006/relationships/hyperlink" Target="https://doi.org/10.1111/1467-923X.12687" TargetMode="External"/><Relationship Id="rId66" Type="http://schemas.openxmlformats.org/officeDocument/2006/relationships/hyperlink" Target="https://doi.org/10.1111/tsq.12015" TargetMode="External"/><Relationship Id="rId61" Type="http://schemas.openxmlformats.org/officeDocument/2006/relationships/hyperlink" Target="https://doi.org/10.1080/10584609.2017.1364814" TargetMode="External"/><Relationship Id="rId82" Type="http://schemas.openxmlformats.org/officeDocument/2006/relationships/hyperlink" Target="https://doi.org/10.18352/ulr.420"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github.com/openai/whisper" TargetMode="External"/><Relationship Id="rId1" Type="http://schemas.openxmlformats.org/officeDocument/2006/relationships/hyperlink" Target="https://www.facebook.com/ads/library/ap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1800C-D43D-9C4B-B568-AAECDC0B7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Pages>
  <Words>20702</Words>
  <Characters>113867</Characters>
  <Application>Microsoft Office Word</Application>
  <DocSecurity>0</DocSecurity>
  <Lines>948</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PEREZ</dc:creator>
  <cp:keywords/>
  <dc:description/>
  <cp:lastModifiedBy>JUAN PEREZ</cp:lastModifiedBy>
  <cp:revision>2</cp:revision>
  <cp:lastPrinted>2025-11-25T16:55:00Z</cp:lastPrinted>
  <dcterms:created xsi:type="dcterms:W3CDTF">2025-11-25T21:34:00Z</dcterms:created>
  <dcterms:modified xsi:type="dcterms:W3CDTF">2025-11-25T21:34:00Z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id="Yo9RXaVT"/&gt;&lt;style id="http://www.zotero.org/styles/chicago-author-date" locale="es-ES"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