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Caso de estudio: Riesgos y ataques cibernéticos en una empresa mediana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TechNova S.A. – Resolución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Resumen del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Empresa:</w:t>
      </w:r>
      <w:r>
        <w:rPr>
          <w:rFonts w:ascii="Calibri" w:cs="Calibri" w:eastAsia="Calibri" w:hAnsi="Calibri"/>
        </w:rPr>
        <w:t xml:space="preserve"> TechNova S.A. (servicios tecnológicos y consultoría, 250 empleados).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Infraestructura:</w:t>
      </w:r>
      <w:r>
        <w:rPr>
          <w:rFonts w:ascii="Calibri" w:cs="Calibri" w:eastAsia="Calibri" w:hAnsi="Calibri"/>
        </w:rPr>
        <w:t xml:space="preserve"> servidores internos y en la nube (Azure), ERP y CRM en línea, correo corporativo, Teams y SharePoint.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Problema de fondo:</w:t>
      </w:r>
      <w:r>
        <w:rPr>
          <w:rFonts w:ascii="Calibri" w:cs="Calibri" w:eastAsia="Calibri" w:hAnsi="Calibri"/>
        </w:rPr>
        <w:t xml:space="preserve"> creció muy rápido y no hizo auditorías de seguridad ni capacitó al personal.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Incidente (marzo de 2024):</w:t>
      </w:r>
      <w:r>
        <w:rPr>
          <w:rFonts w:ascii="Calibri" w:cs="Calibri" w:eastAsia="Calibri" w:hAnsi="Calibri"/>
        </w:rPr>
        <w:t xml:space="preserve"> ransomware que entró por un correo de phishing al departamento de contabilidad, con un PDF adjunto que ejecutó un script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Consecuencias:</w:t>
      </w:r>
      <w:r>
        <w:rPr>
          <w:rFonts w:ascii="Calibri" w:cs="Calibri" w:eastAsia="Calibri" w:hAnsi="Calibri"/>
        </w:rPr>
        <w:t xml:space="preserve"> 80 % de los archivos del servidor principal cifrados, pérdida temporal de las bases de datos de clientes, rescate de 15 000 USD, 5 días de operaciones paralizadas y pérdida estimada de 75 000 USD.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Identificación del ataque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ataque:</w:t>
      </w:r>
      <w:r>
        <w:rPr>
          <w:rFonts w:ascii="Calibri" w:cs="Calibri" w:eastAsia="Calibri" w:hAnsi="Calibri"/>
        </w:rPr>
        <w:t xml:space="preserve"> ransomware, con ingeniería social (phishing) como vector de entrada.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Amenaza:</w:t>
      </w:r>
      <w:r>
        <w:rPr>
          <w:rFonts w:ascii="Calibri" w:cs="Calibri" w:eastAsia="Calibri" w:hAnsi="Calibri"/>
        </w:rPr>
        <w:t xml:space="preserve"> actor externo con motivación económica.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Vulnerabilidades explotadas:</w:t>
      </w:r>
      <w:r>
        <w:rPr>
          <w:rFonts w:ascii="Calibri" w:cs="Calibri" w:eastAsia="Calibri" w:hAnsi="Calibri"/>
        </w:rPr>
        <w:t xml:space="preserve"> factor humano (abrir el archivo sin verificar), antivirus desactualizado, falta de segmentación de red y falta de capacitación.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Activos afectados:</w:t>
      </w:r>
      <w:r>
        <w:rPr>
          <w:rFonts w:ascii="Calibri" w:cs="Calibri" w:eastAsia="Calibri" w:hAnsi="Calibri"/>
        </w:rPr>
        <w:t xml:space="preserve"> servidor principal, bases de datos de clientes, ERP/CRM y la continuidad de las operaciones.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Tríada de la CIA: qué se afectó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Principio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Cómo se vio afectado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Disponibilidad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 el más afectado: archivos cifrados, bases de datos inaccesibles y 5 días sin operar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Integridad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archivos cifrados dejaron de ser utilizables, y no se puede confiar en que los datos no se hayan alterado hasta verificarlos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Confidencialidad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En riesgo, porque el malware se conectó a un servidor remoto. El caso no confirma robo de datos, así que hay que investigarlo (los ransomware modernos a veces exfiltran antes de cifrar)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con la Cadena de Eliminación Cibernética (Cyber Kill Chain)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646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N.°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pasó en TechNova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Reconocimiento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atacante identificó a un proveedor habitual y al departamento de contabilidad como objetivo (se deduce del tipo de correo; el caso no lo dice)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Armamentización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Preparó un PDF con un script malicioso (macros) que descarga o ejecuta el ransomware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Entrega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Correo de phishing que aparentaba ser de un proveedor conocido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Explotación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empleado abrió el archivo y se ejecutó el script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Instalación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malware se instaló en el equipo y se propagó. La falta de segmentación de red facilitó que llegara al servidor principal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Comando y Control (CnC)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Conexión con un servidor remoto del atacante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Acciones sobre Objetivos</w:t>
            </w:r>
          </w:p>
        </w:tc>
        <w:tc>
          <w:tcPr>
            <w:tcW w:type="dxa" w:w="6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Cifrado del 80 % de los archivos y exigencia del rescate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Dónde se pudo cortar la cadena:</w:t>
      </w:r>
      <w:r>
        <w:rPr>
          <w:rFonts w:ascii="Calibri" w:cs="Calibri" w:eastAsia="Calibri" w:hAnsi="Calibri"/>
        </w:rPr>
        <w:t xml:space="preserve"> en la </w:t>
      </w:r>
      <w:r>
        <w:rPr>
          <w:rFonts w:ascii="Calibri" w:cs="Calibri" w:eastAsia="Calibri" w:hAnsi="Calibri"/>
          <w:b/>
          <w:bCs/>
        </w:rPr>
        <w:t xml:space="preserve">entrega</w:t>
      </w:r>
      <w:r>
        <w:rPr>
          <w:rFonts w:ascii="Calibri" w:cs="Calibri" w:eastAsia="Calibri" w:hAnsi="Calibri"/>
        </w:rPr>
        <w:t xml:space="preserve"> (filtro de correo y adjuntos), en la </w:t>
      </w:r>
      <w:r>
        <w:rPr>
          <w:rFonts w:ascii="Calibri" w:cs="Calibri" w:eastAsia="Calibri" w:hAnsi="Calibri"/>
          <w:b/>
          <w:bCs/>
        </w:rPr>
        <w:t xml:space="preserve">explotación</w:t>
      </w:r>
      <w:r>
        <w:rPr>
          <w:rFonts w:ascii="Calibri" w:cs="Calibri" w:eastAsia="Calibri" w:hAnsi="Calibri"/>
        </w:rPr>
        <w:t xml:space="preserve"> (usuario capacitado, macros desactivadas, antivirus actualizado) y en la </w:t>
      </w:r>
      <w:r>
        <w:rPr>
          <w:rFonts w:ascii="Calibri" w:cs="Calibri" w:eastAsia="Calibri" w:hAnsi="Calibri"/>
          <w:b/>
          <w:bCs/>
        </w:rPr>
        <w:t xml:space="preserve">instalación</w:t>
      </w:r>
      <w:r>
        <w:rPr>
          <w:rFonts w:ascii="Calibri" w:cs="Calibri" w:eastAsia="Calibri" w:hAnsi="Calibri"/>
        </w:rPr>
        <w:t xml:space="preserve"> (segmentación de red). Mientras más temprano se corte, menor el daño.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MITRE ATT&amp;CK (referencia)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Phishing (T1566), ejecución por el usuario (T1204) y datos cifrados para causar impacto (T1486).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Causas raíz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Causa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Humana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Empleado abrió el archivo sin verificar al remitente. No tenía formación en seguridad digital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Técnica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Antivirus sin actualizar, falta de segmentación de red, falta de copias de seguridad seguras, contraseñas débiles y sin autenticación multifactor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Organizacional / de gobernanza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Crecimiento acelerado sin auditorías regulares, sin capacitación, sin plan de respuesta a incidentes y sin políticas de seguridad claras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Evaluación de riesgos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Matriz de riesgos (análisis cualitativo)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Nivel de riesgo = probabilidad × impacto. Los valores de las primeras columnas vienen del caso. La última columna es una </w:t>
      </w:r>
      <w:r>
        <w:rPr>
          <w:rFonts w:ascii="Calibri" w:cs="Calibri" w:eastAsia="Calibri" w:hAnsi="Calibri"/>
          <w:b/>
          <w:bCs/>
        </w:rPr>
        <w:t xml:space="preserve">estimación</w:t>
      </w:r>
      <w:r>
        <w:rPr>
          <w:rFonts w:ascii="Calibri" w:cs="Calibri" w:eastAsia="Calibri" w:hAnsi="Calibri"/>
        </w:rPr>
        <w:t xml:space="preserve"> de cómo quedan los riesgos después de las medidas implementadas.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700"/>
        <w:gridCol w:w="1050"/>
        <w:gridCol w:w="1200"/>
        <w:gridCol w:w="1450"/>
        <w:gridCol w:w="2210"/>
      </w:tblGrid>
      <w:tr>
        <w:trPr>
          <w:tblHeader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Riesgo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Probabilidad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Impacto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Nivel inicial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Nivel residual (estimado)</w:t>
            </w:r>
          </w:p>
        </w:tc>
        <w:tc>
          <w:tcPr>
            <w:tcW w:type="dxa" w:w="2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Por qué</w:t>
            </w:r>
          </w:p>
        </w:tc>
      </w:tr>
      <w:t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Phishing y malware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Crítico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Medio</w:t>
            </w:r>
          </w:p>
        </w:tc>
        <w:tc>
          <w:tcPr>
            <w:tcW w:type="dxa" w:w="2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Capacitación y EDR ayudan, pero falta filtro de correo</w:t>
            </w:r>
          </w:p>
        </w:tc>
      </w:tr>
      <w:t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Falta de capacitación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Bajo / Medio</w:t>
            </w:r>
          </w:p>
        </w:tc>
        <w:tc>
          <w:tcPr>
            <w:tcW w:type="dxa" w:w="2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Capacitación obligatoria, pero hay que repetirla</w:t>
            </w:r>
          </w:p>
        </w:tc>
      </w:tr>
      <w:t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Pérdida de datos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Medio</w:t>
            </w:r>
          </w:p>
        </w:tc>
        <w:tc>
          <w:tcPr>
            <w:tcW w:type="dxa" w:w="2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Solo hay copias parciales</w:t>
            </w:r>
          </w:p>
        </w:tc>
      </w:tr>
      <w:t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Acceso no autorizado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Crítico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Medio</w:t>
            </w:r>
          </w:p>
        </w:tc>
        <w:tc>
          <w:tcPr>
            <w:tcW w:type="dxa" w:w="2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MFA, pero falta política de contraseñas</w:t>
            </w:r>
          </w:p>
        </w:tc>
      </w:tr>
      <w:t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Reputacional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Medio / Alto</w:t>
            </w:r>
          </w:p>
        </w:tc>
        <w:tc>
          <w:tcPr>
            <w:tcW w:type="dxa" w:w="2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Depende de cómo se comunique el incidente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Prioridad de atención:</w:t>
      </w:r>
      <w:r>
        <w:rPr>
          <w:rFonts w:ascii="Calibri" w:cs="Calibri" w:eastAsia="Calibri" w:hAnsi="Calibri"/>
        </w:rPr>
        <w:t xml:space="preserve"> primero los dos riesgos </w:t>
      </w:r>
      <w:r>
        <w:rPr>
          <w:rFonts w:ascii="Calibri" w:cs="Calibri" w:eastAsia="Calibri" w:hAnsi="Calibri"/>
          <w:b/>
          <w:bCs/>
        </w:rPr>
        <w:t xml:space="preserve">críticos</w:t>
      </w:r>
      <w:r>
        <w:rPr>
          <w:rFonts w:ascii="Calibri" w:cs="Calibri" w:eastAsia="Calibri" w:hAnsi="Calibri"/>
        </w:rPr>
        <w:t xml:space="preserve"> (phishing y acceso no autorizado), luego los de nivel alto.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cuantitativo (ejemplo con supuestos)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SLE</w:t>
      </w:r>
      <w:r>
        <w:rPr>
          <w:rFonts w:ascii="Calibri" w:cs="Calibri" w:eastAsia="Calibri" w:hAnsi="Calibri"/>
        </w:rPr>
        <w:t xml:space="preserve"> (expectativa de pérdida única) = </w:t>
      </w:r>
      <w:r>
        <w:rPr>
          <w:rFonts w:ascii="Calibri" w:cs="Calibri" w:eastAsia="Calibri" w:hAnsi="Calibri"/>
          <w:b/>
          <w:bCs/>
        </w:rPr>
        <w:t xml:space="preserve">75 000 USD</w:t>
      </w:r>
      <w:r>
        <w:rPr>
          <w:rFonts w:ascii="Calibri" w:cs="Calibri" w:eastAsia="Calibri" w:hAnsi="Calibri"/>
        </w:rPr>
        <w:t xml:space="preserve">, según el caso.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Supuesto: un ataque así podría repetirse </w:t>
      </w:r>
      <w:r>
        <w:rPr>
          <w:rFonts w:ascii="Calibri" w:cs="Calibri" w:eastAsia="Calibri" w:hAnsi="Calibri"/>
          <w:b/>
          <w:bCs/>
        </w:rPr>
        <w:t xml:space="preserve">una vez cada 2 años</w:t>
      </w:r>
      <w:r>
        <w:rPr>
          <w:rFonts w:ascii="Calibri" w:cs="Calibri" w:eastAsia="Calibri" w:hAnsi="Calibri"/>
        </w:rPr>
        <w:t xml:space="preserve">, o sea una </w:t>
      </w:r>
      <w:r>
        <w:rPr>
          <w:rFonts w:ascii="Calibri" w:cs="Calibri" w:eastAsia="Calibri" w:hAnsi="Calibri"/>
          <w:b/>
          <w:bCs/>
        </w:rPr>
        <w:t xml:space="preserve">tasa de ocurrencia anual (ARO) = 0,5</w:t>
      </w:r>
      <w:r>
        <w:rPr>
          <w:rFonts w:ascii="Calibri" w:cs="Calibri" w:eastAsia="Calibri" w:hAnsi="Calibri"/>
        </w:rPr>
        <w:t xml:space="preserve">. Es un supuesto mío, el caso no lo 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ALE</w:t>
      </w:r>
      <w:r>
        <w:rPr>
          <w:rFonts w:ascii="Calibri" w:cs="Calibri" w:eastAsia="Calibri" w:hAnsi="Calibri"/>
        </w:rPr>
        <w:t xml:space="preserve"> (expectativa de pérdida anual) = SLE × ARO = 75 000 × 0,5 = </w:t>
      </w:r>
      <w:r>
        <w:rPr>
          <w:rFonts w:ascii="Calibri" w:cs="Calibri" w:eastAsia="Calibri" w:hAnsi="Calibri"/>
          <w:b/>
          <w:bCs/>
        </w:rPr>
        <w:t xml:space="preserve">37 500 USD al año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los controles (MFA, EDR, capacitación, copias de seguridad) cuestan </w:t>
      </w:r>
      <w:r>
        <w:rPr>
          <w:rFonts w:ascii="Calibri" w:cs="Calibri" w:eastAsia="Calibri" w:hAnsi="Calibri"/>
          <w:b/>
          <w:bCs/>
        </w:rPr>
        <w:t xml:space="preserve">menos de 37 500 USD al año</w:t>
      </w:r>
      <w:r>
        <w:rPr>
          <w:rFonts w:ascii="Calibri" w:cs="Calibri" w:eastAsia="Calibri" w:hAnsi="Calibri"/>
        </w:rPr>
        <w:t xml:space="preserve"> y reducen mucho la probabilidad, </w:t>
      </w:r>
      <w:r>
        <w:rPr>
          <w:rFonts w:ascii="Calibri" w:cs="Calibri" w:eastAsia="Calibri" w:hAnsi="Calibri"/>
          <w:b/>
          <w:bCs/>
        </w:rPr>
        <w:t xml:space="preserve">la inversión se justifica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Pagar el rescate (15 000 USD) no es buena opción:</w:t>
      </w:r>
      <w:r>
        <w:rPr>
          <w:rFonts w:ascii="Calibri" w:cs="Calibri" w:eastAsia="Calibri" w:hAnsi="Calibri"/>
        </w:rPr>
        <w:t xml:space="preserve"> no garantiza recuperar los datos, financia al atacante y no corrige la causa. La pérdida total (75 000 USD) incluye costos que el pago no evita, como los días sin operar.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Respuesta al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Respuesta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Cómo aplica a TechNova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Reducción del riesgo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principal: MFA, EDR, capacitación, segmentación, parches y backups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Transferencia / riesgo compartido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Contratar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seguro de ciberriesgo</w:t>
            </w:r>
            <w:r>
              <w:rPr>
                <w:rFonts w:ascii="Calibri" w:cs="Calibri" w:eastAsia="Calibri" w:hAnsi="Calibri"/>
              </w:rPr>
              <w:t xml:space="preserve"> y usar los acuerdos de nivel de servicio de Azure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Retención / aceptación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Aceptar solo el riesgo residual bajo, con revisión periódica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Evasión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Deshabilitar funciones de alto riesgo, como las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macros</w:t>
            </w:r>
            <w:r>
              <w:rPr>
                <w:rFonts w:ascii="Calibri" w:cs="Calibri" w:eastAsia="Calibri" w:hAnsi="Calibri"/>
              </w:rPr>
              <w:t xml:space="preserve"> de documentos que llegan por correo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Evaluación de las medidas correctivas implementadas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260"/>
        <w:gridCol w:w="2500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Medida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 de control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Riesgo que reduce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Observación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Restauración con copias de seguridad parciales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 recuperación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Pérdida de datos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Insuficiente: se necesitan copias completas, fuera de línea y probadas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MFA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Preventivo (técnico)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Acceso no autorizado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Buena medida. Complementar con política de contraseñas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Auditoría externa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 detección (administrativo)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Todos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Hay que repetirla de forma periódica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Capacitación obligatoria en ciberhigiene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Preventivo (administrativo)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Phishing, falta de capacitación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Reforzar con simulacros de phishing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EDR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 detección y correctivo (técnico)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Malware y ransomware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Debe monitorearse todo el tiempo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Plan de respuesta a incidentes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Correctivo (administrativo)</w:t>
            </w:r>
          </w:p>
        </w:tc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Impacto de futuros incidentes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Hay que practicarlo con ejercicios de mesa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 que todavía falta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Segmentación de red</w:t>
      </w:r>
      <w:r>
        <w:rPr>
          <w:rFonts w:ascii="Calibri" w:cs="Calibri" w:eastAsia="Calibri" w:hAnsi="Calibri"/>
        </w:rPr>
        <w:t xml:space="preserve"> (VLAN, DMZ) para que un equipo infectado no llegue al servidor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Gestión de parches y antivirus actualizado</w:t>
      </w:r>
      <w:r>
        <w:rPr>
          <w:rFonts w:ascii="Calibri" w:cs="Calibri" w:eastAsia="Calibri" w:hAnsi="Calibri"/>
        </w:rPr>
        <w:t xml:space="preserve"> de forma automática.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Filtro de correo y web</w:t>
      </w:r>
      <w:r>
        <w:rPr>
          <w:rFonts w:ascii="Calibri" w:cs="Calibri" w:eastAsia="Calibri" w:hAnsi="Calibri"/>
        </w:rPr>
        <w:t xml:space="preserve"> (como Cisco ESA y WSA): bloquear adjuntos peligrosos y analizar enlaces.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Copias de seguridad 3-2-1</w:t>
      </w:r>
      <w:r>
        <w:rPr>
          <w:rFonts w:ascii="Calibri" w:cs="Calibri" w:eastAsia="Calibri" w:hAnsi="Calibri"/>
        </w:rPr>
        <w:t xml:space="preserve">, con una copia fuera de línea o inmutable, y pruebas periódicas de restauración.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Principio de privilegio mínimo</w:t>
      </w:r>
      <w:r>
        <w:rPr>
          <w:rFonts w:ascii="Calibri" w:cs="Calibri" w:eastAsia="Calibri" w:hAnsi="Calibri"/>
        </w:rPr>
        <w:t xml:space="preserve"> y política de contraseñas.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Desactivar macros</w:t>
      </w:r>
      <w:r>
        <w:rPr>
          <w:rFonts w:ascii="Calibri" w:cs="Calibri" w:eastAsia="Calibri" w:hAnsi="Calibri"/>
        </w:rPr>
        <w:t xml:space="preserve"> por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SIEM y registros centralizados</w:t>
      </w:r>
      <w:r>
        <w:rPr>
          <w:rFonts w:ascii="Calibri" w:cs="Calibri" w:eastAsia="Calibri" w:hAnsi="Calibri"/>
        </w:rPr>
        <w:t xml:space="preserve"> para detectar actividad sospechosa a tiempo.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 de continuidad del negocio y de recuperación ante desastres</w:t>
      </w:r>
      <w:r>
        <w:rPr>
          <w:rFonts w:ascii="Calibri" w:cs="Calibri" w:eastAsia="Calibri" w:hAnsi="Calibri"/>
        </w:rPr>
        <w:t xml:space="preserve"> (con BIA, RTO y RPO definidos).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Modelo Zero Trust</w:t>
      </w:r>
      <w:r>
        <w:rPr>
          <w:rFonts w:ascii="Calibri" w:cs="Calibri" w:eastAsia="Calibri" w:hAnsi="Calibri"/>
        </w:rPr>
        <w:t xml:space="preserve">: nunca confiar, siempre verificar.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Seguro de ciberriesgo.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6. Plan de respuesta a incidentes (ciclo de vida de NIST)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Fase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Acciones para TechNova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1. Preparación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Crear el CSIRT con TI, Legal, Recursos Humanos, Relaciones Públicas, Gerencia y Continuidad del negocio. Definir roles, herramientas, inventario de activos, copias de seguridad probadas y contactos externos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2. Detección y análisis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Detectar con EDR y SIEM. Confirmar el incidente (descartar falsos positivos), determinar el alcance (qué equipos y datos), clasificar y priorizar, y notificar a las partes interesadas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3. Contención, erradicación y recuperación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Contención:</w:t>
            </w:r>
            <w:r>
              <w:rPr>
                <w:rFonts w:ascii="Calibri" w:cs="Calibri" w:eastAsia="Calibri" w:hAnsi="Calibri"/>
              </w:rPr>
              <w:t xml:space="preserve"> aislar de inmediato los equipos infectados y desconectar el servidor afectado de la red. </w:t>
            </w:r>
            <w:r>
              <w:rPr>
                <w:rFonts w:ascii="Calibri" w:cs="Calibri" w:eastAsia="Calibri" w:hAnsi="Calibri"/>
                <w:b/>
                <w:bCs/>
              </w:rPr>
              <w:t xml:space="preserve">Erradicación:</w:t>
            </w:r>
            <w:r>
              <w:rPr>
                <w:rFonts w:ascii="Calibri" w:cs="Calibri" w:eastAsia="Calibri" w:hAnsi="Calibri"/>
              </w:rPr>
              <w:t xml:space="preserve"> eliminar el malware, identificar todos los hosts que necesitan corrección, cambiar credenciales y parchear.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Recuperación:</w:t>
            </w:r>
            <w:r>
              <w:rPr>
                <w:rFonts w:ascii="Calibri" w:cs="Calibri" w:eastAsia="Calibri" w:hAnsi="Calibri"/>
              </w:rPr>
              <w:t xml:space="preserve"> restaurar desde copias limpias y verificar antes de reconectar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4. Actividades posteriores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Informar y revisar qué falló, aplicar las lecciones aprendidas, actualizar controles y políticas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Manejo de la evidencia (forense digital)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Conservar los </w:t>
      </w:r>
      <w:r>
        <w:rPr>
          <w:rFonts w:ascii="Calibri" w:cs="Calibri" w:eastAsia="Calibri" w:hAnsi="Calibri"/>
          <w:b/>
          <w:bCs/>
        </w:rPr>
        <w:t xml:space="preserve">indicadores de compromiso</w:t>
      </w:r>
      <w:r>
        <w:rPr>
          <w:rFonts w:ascii="Calibri" w:cs="Calibri" w:eastAsia="Calibri" w:hAnsi="Calibri"/>
        </w:rPr>
        <w:t xml:space="preserve"> (correo, PDF, registros, conexión al servidor remoto) para análisis y atribución.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Seguir el </w:t>
      </w:r>
      <w:r>
        <w:rPr>
          <w:rFonts w:ascii="Calibri" w:cs="Calibri" w:eastAsia="Calibri" w:hAnsi="Calibri"/>
          <w:b/>
          <w:bCs/>
        </w:rPr>
        <w:t xml:space="preserve">orden de volatilidad</w:t>
      </w:r>
      <w:r>
        <w:rPr>
          <w:rFonts w:ascii="Calibri" w:cs="Calibri" w:eastAsia="Calibri" w:hAnsi="Calibri"/>
        </w:rPr>
        <w:t xml:space="preserve"> (RFC 3227): primero los datos que se pierden más rápido, como la memoria.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Mantener la </w:t>
      </w:r>
      <w:r>
        <w:rPr>
          <w:rFonts w:ascii="Calibri" w:cs="Calibri" w:eastAsia="Calibri" w:hAnsi="Calibri"/>
          <w:b/>
          <w:bCs/>
        </w:rPr>
        <w:t xml:space="preserve">cadena de custodia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Pasos del proceso forense: </w:t>
      </w:r>
      <w:r>
        <w:rPr>
          <w:rFonts w:ascii="Calibri" w:cs="Calibri" w:eastAsia="Calibri" w:hAnsi="Calibri"/>
          <w:b/>
          <w:bCs/>
        </w:rPr>
        <w:t xml:space="preserve">recolección, examen, análisis y presentación de informes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equipo </w:t>
      </w:r>
      <w:r>
        <w:rPr>
          <w:rFonts w:ascii="Calibri" w:cs="Calibri" w:eastAsia="Calibri" w:hAnsi="Calibri"/>
          <w:b/>
          <w:bCs/>
        </w:rPr>
        <w:t xml:space="preserve">legal</w:t>
      </w:r>
      <w:r>
        <w:rPr>
          <w:rFonts w:ascii="Calibri" w:cs="Calibri" w:eastAsia="Calibri" w:hAnsi="Calibri"/>
        </w:rPr>
        <w:t xml:space="preserve"> debe revisar si hay obligación de notificar a clientes y autoridades por las bases de datos de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Dar un mensaje claro a los clientes ayuda a limitar el </w:t>
      </w:r>
      <w:r>
        <w:rPr>
          <w:rFonts w:ascii="Calibri" w:cs="Calibri" w:eastAsia="Calibri" w:hAnsi="Calibri"/>
          <w:b/>
          <w:bCs/>
        </w:rPr>
        <w:t xml:space="preserve">daño reputacional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7. Recomendaciones priorizadas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Plazo</w:t>
            </w:r>
          </w:p>
        </w:tc>
        <w:tc>
          <w:tcPr>
            <w:tcW w:type="dxa" w:w="7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Acciones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Corto plazo (0 a 3 meses)</w:t>
            </w:r>
          </w:p>
        </w:tc>
        <w:tc>
          <w:tcPr>
            <w:tcW w:type="dxa" w:w="7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Actualizar antivirus y parches, activar filtro de correo, desactivar macros, backups completos y fuera de línea, política de contraseñas, simulacros de phishing, y probar el plan de respuesta con un ejercicio de mesa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Mediano plazo (3 a 12 meses)</w:t>
            </w:r>
          </w:p>
        </w:tc>
        <w:tc>
          <w:tcPr>
            <w:tcW w:type="dxa" w:w="7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Segmentación de red (VLAN y DMZ), SIEM con registros centralizados, privilegio mínimo, plan de continuidad del negocio y recuperación ante desastres, y seguro de ciberriesgo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Largo plazo (más de 12 meses)</w:t>
            </w:r>
          </w:p>
        </w:tc>
        <w:tc>
          <w:tcPr>
            <w:tcW w:type="dxa" w:w="7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Modelo Zero Trust, auditorías periódicas, pruebas de penetración, gobernanza de ciberseguridad con políticas formales (por ejemplo, alineación con ISO 27000) e inteligencia de amenazas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8. Lecciones aprendidas y conclusión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ataque </w:t>
      </w:r>
      <w:r>
        <w:rPr>
          <w:rFonts w:ascii="Calibri" w:cs="Calibri" w:eastAsia="Calibri" w:hAnsi="Calibri"/>
          <w:b/>
          <w:bCs/>
        </w:rPr>
        <w:t xml:space="preserve">no fue solo un fallo técnico</w:t>
      </w:r>
      <w:r>
        <w:rPr>
          <w:rFonts w:ascii="Calibri" w:cs="Calibri" w:eastAsia="Calibri" w:hAnsi="Calibri"/>
        </w:rPr>
        <w:t xml:space="preserve">: combinó un error humano con falta de controles básicos y de gobernanza.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Crecer rápido </w:t>
      </w:r>
      <w:r>
        <w:rPr>
          <w:rFonts w:ascii="Calibri" w:cs="Calibri" w:eastAsia="Calibri" w:hAnsi="Calibri"/>
          <w:b/>
          <w:bCs/>
        </w:rPr>
        <w:t xml:space="preserve">sin seguridad</w:t>
      </w:r>
      <w:r>
        <w:rPr>
          <w:rFonts w:ascii="Calibri" w:cs="Calibri" w:eastAsia="Calibri" w:hAnsi="Calibri"/>
        </w:rPr>
        <w:t xml:space="preserve"> deja riesgos acumulados. La seguridad debe crecer al mismo ritmo que la infraestructura.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medidas implementadas </w:t>
      </w:r>
      <w:r>
        <w:rPr>
          <w:rFonts w:ascii="Calibri" w:cs="Calibri" w:eastAsia="Calibri" w:hAnsi="Calibri"/>
          <w:b/>
          <w:bCs/>
        </w:rPr>
        <w:t xml:space="preserve">van en la dirección correcta</w:t>
      </w:r>
      <w:r>
        <w:rPr>
          <w:rFonts w:ascii="Calibri" w:cs="Calibri" w:eastAsia="Calibri" w:hAnsi="Calibri"/>
        </w:rPr>
        <w:t xml:space="preserve">, pero el riesgo no desaparece: hay que cerrar las brechas pendientes (segmentación, backups, filtro de correo, parches) y mantener todo con revisión continua.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organización preparada </w:t>
      </w:r>
      <w:r>
        <w:rPr>
          <w:rFonts w:ascii="Calibri" w:cs="Calibri" w:eastAsia="Calibri" w:hAnsi="Calibri"/>
          <w:b/>
          <w:bCs/>
        </w:rPr>
        <w:t xml:space="preserve">limita el impacto</w:t>
      </w:r>
      <w:r>
        <w:rPr>
          <w:rFonts w:ascii="Calibri" w:cs="Calibri" w:eastAsia="Calibri" w:hAnsi="Calibri"/>
        </w:rPr>
        <w:t xml:space="preserve">: con backups sólidos y un plan de respuesta probado, el ataque habría costado mucho menos que 75 000 USD y no habría parado la operación cinco días.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2026-10-23T14:17:20.574Z</dcterms:created>
  <dcterms:modified xsi:type="dcterms:W3CDTF">2026-10-23T14:17:20.574Z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