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Caso de estudio: Riesgos y ataques cibernéticos en una empresa mediana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TechNova S.A.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Resumen del caso</w:t>
      </w:r>
    </w:p>
    <w:p>
      <w:pPr>
        <w:spacing w:after="100"/>
      </w:pPr>
      <w:r>
        <w:rPr>
          <w:rFonts w:ascii="Calibri" w:cs="Calibri" w:eastAsia="Calibri" w:hAnsi="Calibri"/>
        </w:rPr>
        <w:t xml:space="preserve">TechNova S.A. es una empresa de servicios tecnológicos y consultoría con 250 empleados. Su infraestructura combina servidores internos y en la nube (Azure), ERP y CRM en línea, correo corporativo, Teams y SharePoint. En los últimos dos años creció rápido, pero no hizo auditorías de seguridad ni capacitó a su personal.</w:t>
      </w:r>
    </w:p>
    <w:p>
      <w:pPr>
        <w:spacing w:after="100"/>
      </w:pPr>
      <w:r>
        <w:rPr>
          <w:rFonts w:ascii="Calibri" w:cs="Calibri" w:eastAsia="Calibri" w:hAnsi="Calibri"/>
        </w:rPr>
        <w:t xml:space="preserve">En marzo de 2024 sufrió un ataque de </w:t>
      </w:r>
      <w:r>
        <w:rPr>
          <w:rFonts w:ascii="Calibri" w:cs="Calibri" w:eastAsia="Calibri" w:hAnsi="Calibri"/>
          <w:b/>
          <w:bCs/>
        </w:rPr>
        <w:t xml:space="preserve">ransomware</w:t>
      </w:r>
      <w:r>
        <w:rPr>
          <w:rFonts w:ascii="Calibri" w:cs="Calibri" w:eastAsia="Calibri" w:hAnsi="Calibri"/>
        </w:rPr>
        <w:t xml:space="preserve">. Todo empezó con un correo de phishing dirigido a contabilidad, que parecía venir de un proveedor habitual e incluía un PDF que ejecutó un script malicioso. El ataque dejó estas consecuencias: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Cifrado del 80 % de los archivos del servidor principal.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Pérdida temporal de acceso a las bases de datos de clientes.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Exigencia de un rescate de 15 000 USD en criptomonedas.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Cinco días de operaciones paralizadas.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Pérdida estimada de 75 000 USD entre costos directos e indirectos.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Identificación del ataque</w:t>
      </w:r>
    </w:p>
    <w:p>
      <w:pPr>
        <w:spacing w:after="100"/>
      </w:pPr>
      <w:r>
        <w:rPr>
          <w:rFonts w:ascii="Calibri" w:cs="Calibri" w:eastAsia="Calibri" w:hAnsi="Calibri"/>
        </w:rPr>
        <w:t xml:space="preserve">Se trata de un ataque de </w:t>
      </w:r>
      <w:r>
        <w:rPr>
          <w:rFonts w:ascii="Calibri" w:cs="Calibri" w:eastAsia="Calibri" w:hAnsi="Calibri"/>
          <w:b/>
          <w:bCs/>
        </w:rPr>
        <w:t xml:space="preserve">ransomware</w:t>
      </w:r>
      <w:r>
        <w:rPr>
          <w:rFonts w:ascii="Calibri" w:cs="Calibri" w:eastAsia="Calibri" w:hAnsi="Calibri"/>
        </w:rPr>
        <w:t xml:space="preserve"> con ingeniería social como vector de entrada (phishing). La amenaza es un actor externo con motivación económica, y los activos afectados fueron el servidor principal, las bases de datos de clientes, el ERP y CRM, y la continuidad de las operaciones.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Tríada de la CIA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Principio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Cómo se vio afectado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Disponibilidad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 el más afectado: los archivos quedaron cifrados, las bases de datos inaccesibles y la empresa estuvo cinco días sin operar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Integridad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Los archivos cifrados dejaron de ser utilizables, y mientras no se verifiquen no podemos asegurar que los datos no hayan sido alterados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Confidencialidad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Está en riesgo porque el malware se conectó a un servidor remoto. El caso no confirma robo de datos, así que habría que investigarlo, ya que algunos ransomware roban la información antes de cifrarla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Análisis con la Cadena de Eliminación Cibernética (Cyber Kill Chain)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1. Reconocimiento:</w:t>
      </w:r>
      <w:r>
        <w:rPr>
          <w:rFonts w:ascii="Calibri" w:cs="Calibri" w:eastAsia="Calibri" w:hAnsi="Calibri"/>
        </w:rPr>
        <w:t xml:space="preserve"> Suponemos que el atacante investigó a la empresa y eligió a contabilidad y a un proveedor habitual como objetivo, porque el correo era muy creíble. El caso no lo menciona de forma explícita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2. Armamentización:</w:t>
      </w:r>
      <w:r>
        <w:rPr>
          <w:rFonts w:ascii="Calibri" w:cs="Calibri" w:eastAsia="Calibri" w:hAnsi="Calibri"/>
        </w:rPr>
        <w:t xml:space="preserve"> Preparó un PDF con un script malicioso que ejecuta el ransomware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3. Entrega:</w:t>
      </w:r>
      <w:r>
        <w:rPr>
          <w:rFonts w:ascii="Calibri" w:cs="Calibri" w:eastAsia="Calibri" w:hAnsi="Calibri"/>
        </w:rPr>
        <w:t xml:space="preserve"> Envió un correo de phishing que aparentaba ser de un proveedor conocido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4. Explotación:</w:t>
      </w:r>
      <w:r>
        <w:rPr>
          <w:rFonts w:ascii="Calibri" w:cs="Calibri" w:eastAsia="Calibri" w:hAnsi="Calibri"/>
        </w:rPr>
        <w:t xml:space="preserve"> El empleado abrió el archivo y se ejecutó el script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5. Instalación:</w:t>
      </w:r>
      <w:r>
        <w:rPr>
          <w:rFonts w:ascii="Calibri" w:cs="Calibri" w:eastAsia="Calibri" w:hAnsi="Calibri"/>
        </w:rPr>
        <w:t xml:space="preserve"> El malware se instaló y se propagó. La falta de segmentación de red le permitió llegar al servidor principal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6. Comando y Control (CnC):</w:t>
      </w:r>
      <w:r>
        <w:rPr>
          <w:rFonts w:ascii="Calibri" w:cs="Calibri" w:eastAsia="Calibri" w:hAnsi="Calibri"/>
        </w:rPr>
        <w:t xml:space="preserve"> Se conectó con un servidor remoto del atacante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7. Acciones sobre Objetivos:</w:t>
      </w:r>
      <w:r>
        <w:rPr>
          <w:rFonts w:ascii="Calibri" w:cs="Calibri" w:eastAsia="Calibri" w:hAnsi="Calibri"/>
        </w:rPr>
        <w:t xml:space="preserve"> Cifró el 80 % de los archivos y exigió el rescate</w:t>
      </w:r>
    </w:p>
    <w:p>
      <w:pPr>
        <w:spacing w:after="100"/>
      </w:pPr>
      <w:r>
        <w:rPr>
          <w:rFonts w:ascii="Calibri" w:cs="Calibri" w:eastAsia="Calibri" w:hAnsi="Calibri"/>
        </w:rPr>
        <w:t xml:space="preserve">La cadena se pudo cortar en tres puntos: en la </w:t>
      </w:r>
      <w:r>
        <w:rPr>
          <w:rFonts w:ascii="Calibri" w:cs="Calibri" w:eastAsia="Calibri" w:hAnsi="Calibri"/>
          <w:b/>
          <w:bCs/>
        </w:rPr>
        <w:t xml:space="preserve">entrega</w:t>
      </w:r>
      <w:r>
        <w:rPr>
          <w:rFonts w:ascii="Calibri" w:cs="Calibri" w:eastAsia="Calibri" w:hAnsi="Calibri"/>
        </w:rPr>
        <w:t xml:space="preserve">, con un filtro de correo y de adjuntos; en la </w:t>
      </w:r>
      <w:r>
        <w:rPr>
          <w:rFonts w:ascii="Calibri" w:cs="Calibri" w:eastAsia="Calibri" w:hAnsi="Calibri"/>
          <w:b/>
          <w:bCs/>
        </w:rPr>
        <w:t xml:space="preserve">explotación</w:t>
      </w:r>
      <w:r>
        <w:rPr>
          <w:rFonts w:ascii="Calibri" w:cs="Calibri" w:eastAsia="Calibri" w:hAnsi="Calibri"/>
        </w:rPr>
        <w:t xml:space="preserve">, con usuarios capacitados, macros desactivadas y antivirus actualizado; y en la </w:t>
      </w:r>
      <w:r>
        <w:rPr>
          <w:rFonts w:ascii="Calibri" w:cs="Calibri" w:eastAsia="Calibri" w:hAnsi="Calibri"/>
          <w:b/>
          <w:bCs/>
        </w:rPr>
        <w:t xml:space="preserve">instalación</w:t>
      </w:r>
      <w:r>
        <w:rPr>
          <w:rFonts w:ascii="Calibri" w:cs="Calibri" w:eastAsia="Calibri" w:hAnsi="Calibri"/>
        </w:rPr>
        <w:t xml:space="preserve">, con segmentación de red. Mientras más temprano se corte, menor es el daño.</w:t>
      </w:r>
    </w:p>
    <w:p>
      <w:pPr>
        <w:spacing w:after="100"/>
      </w:pPr>
      <w:r>
        <w:rPr>
          <w:rFonts w:ascii="Calibri" w:cs="Calibri" w:eastAsia="Calibri" w:hAnsi="Calibri"/>
        </w:rPr>
        <w:t xml:space="preserve">Según el marco MITRE ATT&amp;CK, el ataque corresponde a las técnicas de phishing (T1566), ejecución por el usuario (T1204) y datos cifrados para causar impacto (T1486).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Causas raíz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Humana:</w:t>
      </w:r>
      <w:r>
        <w:rPr>
          <w:rFonts w:ascii="Calibri" w:cs="Calibri" w:eastAsia="Calibri" w:hAnsi="Calibri"/>
        </w:rPr>
        <w:t xml:space="preserve"> El empleado abrió el archivo sin verificar al remitente y no tenía formación en seguridad digital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Técnica:</w:t>
      </w:r>
      <w:r>
        <w:rPr>
          <w:rFonts w:ascii="Calibri" w:cs="Calibri" w:eastAsia="Calibri" w:hAnsi="Calibri"/>
        </w:rPr>
        <w:t xml:space="preserve"> Antivirus sin actualizar, red sin segmentar, copias de seguridad poco seguras, contraseñas débiles y ausencia de autenticación multifactor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Organizacional:</w:t>
      </w:r>
      <w:r>
        <w:rPr>
          <w:rFonts w:ascii="Calibri" w:cs="Calibri" w:eastAsia="Calibri" w:hAnsi="Calibri"/>
        </w:rPr>
        <w:t xml:space="preserve"> Crecimiento acelerado sin auditorías, sin capacitación, sin plan de respuesta a incidentes y sin políticas de seguridad claras</w:t>
      </w:r>
    </w:p>
    <w:p>
      <w:pPr>
        <w:spacing w:after="100"/>
      </w:pPr>
      <w:r>
        <w:rPr>
          <w:rFonts w:ascii="Calibri" w:cs="Calibri" w:eastAsia="Calibri" w:hAnsi="Calibri"/>
        </w:rPr>
        <w:t xml:space="preserve">Concluimos que el ataque no fue únicamente un fallo técnico: combinó un error humano con la falta de controles básicos y de gobernanza.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4. Evaluación de riesgos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Matriz de riesgos (análisis cualitativo)</w:t>
      </w:r>
    </w:p>
    <w:p>
      <w:pPr>
        <w:spacing w:after="100"/>
      </w:pPr>
      <w:r>
        <w:rPr>
          <w:rFonts w:ascii="Calibri" w:cs="Calibri" w:eastAsia="Calibri" w:hAnsi="Calibri"/>
        </w:rPr>
        <w:t xml:space="preserve">El nivel de riesgo se obtiene combinando la probabilidad con el impacto. Los valores iniciales son los del caso. Para la última columna hacemos una </w:t>
      </w:r>
      <w:r>
        <w:rPr>
          <w:rFonts w:ascii="Calibri" w:cs="Calibri" w:eastAsia="Calibri" w:hAnsi="Calibri"/>
          <w:b/>
          <w:bCs/>
        </w:rPr>
        <w:t xml:space="preserve">estimación</w:t>
      </w:r>
      <w:r>
        <w:rPr>
          <w:rFonts w:ascii="Calibri" w:cs="Calibri" w:eastAsia="Calibri" w:hAnsi="Calibri"/>
        </w:rPr>
        <w:t xml:space="preserve"> del nivel residual, es decir, el riesgo que queda después de aplicar las medidas correctivas, considerando cuánto cubre cada una de ellas.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Phishing y malware:</w:t>
      </w:r>
      <w:r>
        <w:rPr>
          <w:rFonts w:ascii="Calibri" w:cs="Calibri" w:eastAsia="Calibri" w:hAnsi="Calibri"/>
        </w:rPr>
        <w:t xml:space="preserve"> probabilidad Alta; impacto Alto; nivel inicial Crítico; nivel residual (estimado) Medio; justificación: La capacitación y el EDR ayudan, pero falta un filtro de correo.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Falta de capacitación:</w:t>
      </w:r>
      <w:r>
        <w:rPr>
          <w:rFonts w:ascii="Calibri" w:cs="Calibri" w:eastAsia="Calibri" w:hAnsi="Calibri"/>
        </w:rPr>
        <w:t xml:space="preserve"> probabilidad Alta; impacto Medio; nivel inicial Alto; nivel residual (estimado) Bajo / Medio; justificación: La capacitación es obligatoria, pero debe repetirse.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Pérdida de datos:</w:t>
      </w:r>
      <w:r>
        <w:rPr>
          <w:rFonts w:ascii="Calibri" w:cs="Calibri" w:eastAsia="Calibri" w:hAnsi="Calibri"/>
        </w:rPr>
        <w:t xml:space="preserve"> probabilidad Media; impacto Alto; nivel inicial Alto; nivel residual (estimado) Medio; justificación: Solo existen copias parciales.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Acceso no autorizado:</w:t>
      </w:r>
      <w:r>
        <w:rPr>
          <w:rFonts w:ascii="Calibri" w:cs="Calibri" w:eastAsia="Calibri" w:hAnsi="Calibri"/>
        </w:rPr>
        <w:t xml:space="preserve"> probabilidad Alta; impacto Alto; nivel inicial Crítico; nivel residual (estimado) Medio; justificación: El MFA ayuda, pero falta una política de contraseñas.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Reputacional:</w:t>
      </w:r>
      <w:r>
        <w:rPr>
          <w:rFonts w:ascii="Calibri" w:cs="Calibri" w:eastAsia="Calibri" w:hAnsi="Calibri"/>
        </w:rPr>
        <w:t xml:space="preserve"> probabilidad Media; impacto Alto; nivel inicial Alto; nivel residual (estimado) Medio / Alto; justificación: Depende de cómo se comunique el incidente.</w:t>
      </w:r>
    </w:p>
    <w:p>
      <w:pPr>
        <w:spacing w:after="100"/>
      </w:pPr>
      <w:r>
        <w:rPr>
          <w:rFonts w:ascii="Calibri" w:cs="Calibri" w:eastAsia="Calibri" w:hAnsi="Calibri"/>
        </w:rPr>
        <w:t xml:space="preserve">Los dos riesgos críticos, phishing y acceso no autorizado, deben atenderse primero, y después los de nivel alto.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Análisis cuantitativo</w:t>
      </w:r>
    </w:p>
    <w:p>
      <w:pPr>
        <w:spacing w:after="100"/>
      </w:pPr>
      <w:r>
        <w:rPr>
          <w:rFonts w:ascii="Calibri" w:cs="Calibri" w:eastAsia="Calibri" w:hAnsi="Calibri"/>
        </w:rPr>
        <w:t xml:space="preserve">Del caso tomamos la </w:t>
      </w:r>
      <w:r>
        <w:rPr>
          <w:rFonts w:ascii="Calibri" w:cs="Calibri" w:eastAsia="Calibri" w:hAnsi="Calibri"/>
          <w:b/>
          <w:bCs/>
        </w:rPr>
        <w:t xml:space="preserve">expectativa de pérdida única (SLE)</w:t>
      </w:r>
      <w:r>
        <w:rPr>
          <w:rFonts w:ascii="Calibri" w:cs="Calibri" w:eastAsia="Calibri" w:hAnsi="Calibri"/>
        </w:rPr>
        <w:t xml:space="preserve">, que es de </w:t>
      </w:r>
      <w:r>
        <w:rPr>
          <w:rFonts w:ascii="Calibri" w:cs="Calibri" w:eastAsia="Calibri" w:hAnsi="Calibri"/>
          <w:b/>
          <w:bCs/>
        </w:rPr>
        <w:t xml:space="preserve">75 000 USD</w:t>
      </w:r>
      <w:r>
        <w:rPr>
          <w:rFonts w:ascii="Calibri" w:cs="Calibri" w:eastAsia="Calibri" w:hAnsi="Calibri"/>
        </w:rPr>
        <w:t xml:space="preserve">. Como el caso no da la frecuencia del ataque, </w:t>
      </w:r>
      <w:r>
        <w:rPr>
          <w:rFonts w:ascii="Calibri" w:cs="Calibri" w:eastAsia="Calibri" w:hAnsi="Calibri"/>
          <w:b/>
          <w:bCs/>
        </w:rPr>
        <w:t xml:space="preserve">supongamos que ocurre una vez cada dos años</w:t>
      </w:r>
      <w:r>
        <w:rPr>
          <w:rFonts w:ascii="Calibri" w:cs="Calibri" w:eastAsia="Calibri" w:hAnsi="Calibri"/>
        </w:rPr>
        <w:t xml:space="preserve">, es decir, que la </w:t>
      </w:r>
      <w:r>
        <w:rPr>
          <w:rFonts w:ascii="Calibri" w:cs="Calibri" w:eastAsia="Calibri" w:hAnsi="Calibri"/>
          <w:b/>
          <w:bCs/>
        </w:rPr>
        <w:t xml:space="preserve">tasa de ocurrencia anual (ARO) es de 0,5</w:t>
      </w:r>
      <w:r>
        <w:rPr>
          <w:rFonts w:ascii="Calibri" w:cs="Calibri" w:eastAsia="Calibri" w:hAnsi="Calibri"/>
        </w:rPr>
        <w:t xml:space="preserve">. Con ese supuesto: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ALE</w:t>
      </w:r>
      <w:r>
        <w:rPr>
          <w:rFonts w:ascii="Calibri" w:cs="Calibri" w:eastAsia="Calibri" w:hAnsi="Calibri"/>
        </w:rPr>
        <w:t xml:space="preserve"> (expectativa de pérdida anual) = SLE × ARO = 75 000 × 0,5 = </w:t>
      </w:r>
      <w:r>
        <w:rPr>
          <w:rFonts w:ascii="Calibri" w:cs="Calibri" w:eastAsia="Calibri" w:hAnsi="Calibri"/>
          <w:b/>
          <w:bCs/>
        </w:rPr>
        <w:t xml:space="preserve">37 500 USD al año</w:t>
      </w:r>
      <w:r>
        <w:rPr>
          <w:rFonts w:ascii="Calibri" w:cs="Calibri" w:eastAsia="Calibri" w:hAnsi="Calibri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</w:rPr>
        <w:t xml:space="preserve">Si los controles (MFA, EDR, capacitación y copias de seguridad) cuestan menos de esa cifra al año y reducen de forma importante la probabilidad del ataque, la inversión se justifica.</w:t>
      </w:r>
    </w:p>
    <w:p>
      <w:pPr>
        <w:spacing w:after="100"/>
      </w:pPr>
      <w:r>
        <w:rPr>
          <w:rFonts w:ascii="Calibri" w:cs="Calibri" w:eastAsia="Calibri" w:hAnsi="Calibri"/>
        </w:rPr>
        <w:t xml:space="preserve">Pagar el rescate de 15 000 USD tampoco es una buena opción. No garantiza recuperar los datos, financia al atacante y no corrige la causa del problema. Además, la pérdida total incluye costos que el pago no evita, como los cinco días sin operar.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Respuesta al riesgo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Reducción:</w:t>
      </w:r>
      <w:r>
        <w:rPr>
          <w:rFonts w:ascii="Calibri" w:cs="Calibri" w:eastAsia="Calibri" w:hAnsi="Calibri"/>
        </w:rPr>
        <w:t xml:space="preserve"> Es la principal: MFA, EDR, capacitación, segmentación, parches y copias de 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Transferencia:</w:t>
      </w:r>
      <w:r>
        <w:rPr>
          <w:rFonts w:ascii="Calibri" w:cs="Calibri" w:eastAsia="Calibri" w:hAnsi="Calibri"/>
        </w:rPr>
        <w:t xml:space="preserve"> Contratar un seguro de ciberriesgo y apoyarse en los acuerdos de nivel de servicio de Azure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Aceptación:</w:t>
      </w:r>
      <w:r>
        <w:rPr>
          <w:rFonts w:ascii="Calibri" w:cs="Calibri" w:eastAsia="Calibri" w:hAnsi="Calibri"/>
        </w:rPr>
        <w:t xml:space="preserve"> Aceptar solo el riesgo residual bajo, con revisiones periódicas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Evasión:</w:t>
      </w:r>
      <w:r>
        <w:rPr>
          <w:rFonts w:ascii="Calibri" w:cs="Calibri" w:eastAsia="Calibri" w:hAnsi="Calibri"/>
        </w:rPr>
        <w:t xml:space="preserve"> Deshabilitar funciones de alto riesgo, como las macros de los documentos que llegan por correo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5. Evaluación de las medidas implementadas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Restauración con copias de seguridad parciales: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Tipo de control:</w:t>
      </w:r>
      <w:r>
        <w:rPr>
          <w:rFonts w:ascii="Calibri" w:cs="Calibri" w:eastAsia="Calibri" w:hAnsi="Calibri"/>
        </w:rPr>
        <w:t xml:space="preserve"> De recuperación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Riesgo que reduce:</w:t>
      </w:r>
      <w:r>
        <w:rPr>
          <w:rFonts w:ascii="Calibri" w:cs="Calibri" w:eastAsia="Calibri" w:hAnsi="Calibri"/>
        </w:rPr>
        <w:t xml:space="preserve"> Pérdida de datos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Observación:</w:t>
      </w:r>
      <w:r>
        <w:rPr>
          <w:rFonts w:ascii="Calibri" w:cs="Calibri" w:eastAsia="Calibri" w:hAnsi="Calibri"/>
        </w:rPr>
        <w:t xml:space="preserve"> Es insuficiente: se necesitan copias completas, fuera de línea y probadas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MFA: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Tipo de control:</w:t>
      </w:r>
      <w:r>
        <w:rPr>
          <w:rFonts w:ascii="Calibri" w:cs="Calibri" w:eastAsia="Calibri" w:hAnsi="Calibri"/>
        </w:rPr>
        <w:t xml:space="preserve"> Preventivo (técnico)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Riesgo que reduce:</w:t>
      </w:r>
      <w:r>
        <w:rPr>
          <w:rFonts w:ascii="Calibri" w:cs="Calibri" w:eastAsia="Calibri" w:hAnsi="Calibri"/>
        </w:rPr>
        <w:t xml:space="preserve"> Acceso no autorizado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Observación:</w:t>
      </w:r>
      <w:r>
        <w:rPr>
          <w:rFonts w:ascii="Calibri" w:cs="Calibri" w:eastAsia="Calibri" w:hAnsi="Calibri"/>
        </w:rPr>
        <w:t xml:space="preserve"> Es una buena medida, pero falta una política de contraseñas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Auditoría externa: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Tipo de control:</w:t>
      </w:r>
      <w:r>
        <w:rPr>
          <w:rFonts w:ascii="Calibri" w:cs="Calibri" w:eastAsia="Calibri" w:hAnsi="Calibri"/>
        </w:rPr>
        <w:t xml:space="preserve"> De detección (administrativo)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Riesgo que reduce:</w:t>
      </w:r>
      <w:r>
        <w:rPr>
          <w:rFonts w:ascii="Calibri" w:cs="Calibri" w:eastAsia="Calibri" w:hAnsi="Calibri"/>
        </w:rPr>
        <w:t xml:space="preserve"> Todos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Observación:</w:t>
      </w:r>
      <w:r>
        <w:rPr>
          <w:rFonts w:ascii="Calibri" w:cs="Calibri" w:eastAsia="Calibri" w:hAnsi="Calibri"/>
        </w:rPr>
        <w:t xml:space="preserve"> Debe repetirse periódicamente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Capacitación en ciberhigiene: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Tipo de control:</w:t>
      </w:r>
      <w:r>
        <w:rPr>
          <w:rFonts w:ascii="Calibri" w:cs="Calibri" w:eastAsia="Calibri" w:hAnsi="Calibri"/>
        </w:rPr>
        <w:t xml:space="preserve"> Preventivo (administrativo)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Riesgo que reduce:</w:t>
      </w:r>
      <w:r>
        <w:rPr>
          <w:rFonts w:ascii="Calibri" w:cs="Calibri" w:eastAsia="Calibri" w:hAnsi="Calibri"/>
        </w:rPr>
        <w:t xml:space="preserve"> Phishing y falta de capacitación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Observación:</w:t>
      </w:r>
      <w:r>
        <w:rPr>
          <w:rFonts w:ascii="Calibri" w:cs="Calibri" w:eastAsia="Calibri" w:hAnsi="Calibri"/>
        </w:rPr>
        <w:t xml:space="preserve"> Conviene reforzarla con simulacros de phishing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EDR: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Tipo de control:</w:t>
      </w:r>
      <w:r>
        <w:rPr>
          <w:rFonts w:ascii="Calibri" w:cs="Calibri" w:eastAsia="Calibri" w:hAnsi="Calibri"/>
        </w:rPr>
        <w:t xml:space="preserve"> De detección y correctivo (técnico)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Riesgo que reduce:</w:t>
      </w:r>
      <w:r>
        <w:rPr>
          <w:rFonts w:ascii="Calibri" w:cs="Calibri" w:eastAsia="Calibri" w:hAnsi="Calibri"/>
        </w:rPr>
        <w:t xml:space="preserve"> Malware y ransomware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Observación:</w:t>
      </w:r>
      <w:r>
        <w:rPr>
          <w:rFonts w:ascii="Calibri" w:cs="Calibri" w:eastAsia="Calibri" w:hAnsi="Calibri"/>
        </w:rPr>
        <w:t xml:space="preserve"> Debe monitorearse de forma permanente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Plan de respuesta a incidentes: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Tipo de control:</w:t>
      </w:r>
      <w:r>
        <w:rPr>
          <w:rFonts w:ascii="Calibri" w:cs="Calibri" w:eastAsia="Calibri" w:hAnsi="Calibri"/>
        </w:rPr>
        <w:t xml:space="preserve"> Correctivo (administrativo)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Riesgo que reduce:</w:t>
      </w:r>
      <w:r>
        <w:rPr>
          <w:rFonts w:ascii="Calibri" w:cs="Calibri" w:eastAsia="Calibri" w:hAnsi="Calibri"/>
        </w:rPr>
        <w:t xml:space="preserve"> Impacto de futuros incidentes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Observación:</w:t>
      </w:r>
      <w:r>
        <w:rPr>
          <w:rFonts w:ascii="Calibri" w:cs="Calibri" w:eastAsia="Calibri" w:hAnsi="Calibri"/>
        </w:rPr>
        <w:t xml:space="preserve"> Debe practicarse con ejercicios de mesa</w:t>
      </w:r>
    </w:p>
    <w:p>
      <w:pPr>
        <w:spacing w:after="100"/>
      </w:pPr>
      <w:r>
        <w:rPr>
          <w:rFonts w:ascii="Calibri" w:cs="Calibri" w:eastAsia="Calibri" w:hAnsi="Calibri"/>
        </w:rPr>
        <w:t xml:space="preserve">Las medidas van en la dirección correcta, pero no cubren todo. Los controles que siguen pendientes se incluyen en las recomendaciones.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6. Plan de respuesta a incidentes (ciclo de vida de NIST)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1. Preparación:</w:t>
      </w:r>
      <w:r>
        <w:rPr>
          <w:rFonts w:ascii="Calibri" w:cs="Calibri" w:eastAsia="Calibri" w:hAnsi="Calibri"/>
        </w:rPr>
        <w:t xml:space="preserve"> Crear el CSIRT con representantes de TI, Legal, Recursos Humanos, Relaciones Públicas, Gerencia y Continuidad del negocio. Definir roles, herramientas, inventario de activos, copias de seguridad probadas y contactos externos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2. Detección y análisis:</w:t>
      </w:r>
      <w:r>
        <w:rPr>
          <w:rFonts w:ascii="Calibri" w:cs="Calibri" w:eastAsia="Calibri" w:hAnsi="Calibri"/>
        </w:rPr>
        <w:t xml:space="preserve"> Detectar con el EDR y un SIEM, confirmar que se trata de un incidente real, determinar su alcance, clasificarlo, priorizarlo y notificar a las partes interesadas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3. Contención, erradicación y recuperación:</w:t>
      </w:r>
      <w:r>
        <w:rPr>
          <w:rFonts w:ascii="Calibri" w:cs="Calibri" w:eastAsia="Calibri" w:hAnsi="Calibri"/>
        </w:rPr>
        <w:t xml:space="preserve"> Aislar de inmediato los equipos infectados y desconectar el servidor afectado. Luego eliminar el malware, identificar todos los hosts que necesitan corrección, cambiar credenciales y parchear. Por último, restaurar desde copias limpias y verificar antes de reconectar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4. Actividades posteriores:</w:t>
      </w:r>
      <w:r>
        <w:rPr>
          <w:rFonts w:ascii="Calibri" w:cs="Calibri" w:eastAsia="Calibri" w:hAnsi="Calibri"/>
        </w:rPr>
        <w:t xml:space="preserve"> Revisar qué falló, aplicar las lecciones aprendidas y actualizar controles y políticas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Manejo de la evidencia</w:t>
      </w:r>
    </w:p>
    <w:p>
      <w:pPr>
        <w:spacing w:after="100"/>
      </w:pPr>
      <w:r>
        <w:rPr>
          <w:rFonts w:ascii="Calibri" w:cs="Calibri" w:eastAsia="Calibri" w:hAnsi="Calibri"/>
        </w:rPr>
        <w:t xml:space="preserve">Hay que conservar los </w:t>
      </w:r>
      <w:r>
        <w:rPr>
          <w:rFonts w:ascii="Calibri" w:cs="Calibri" w:eastAsia="Calibri" w:hAnsi="Calibri"/>
          <w:b/>
          <w:bCs/>
        </w:rPr>
        <w:t xml:space="preserve">indicadores de compromiso</w:t>
      </w:r>
      <w:r>
        <w:rPr>
          <w:rFonts w:ascii="Calibri" w:cs="Calibri" w:eastAsia="Calibri" w:hAnsi="Calibri"/>
        </w:rPr>
        <w:t xml:space="preserve"> (el correo, el PDF, los registros y la conexión al servidor remoto) para el análisis y la atribución. Se debe seguir el </w:t>
      </w:r>
      <w:r>
        <w:rPr>
          <w:rFonts w:ascii="Calibri" w:cs="Calibri" w:eastAsia="Calibri" w:hAnsi="Calibri"/>
          <w:b/>
          <w:bCs/>
        </w:rPr>
        <w:t xml:space="preserve">orden de volatilidad</w:t>
      </w:r>
      <w:r>
        <w:rPr>
          <w:rFonts w:ascii="Calibri" w:cs="Calibri" w:eastAsia="Calibri" w:hAnsi="Calibri"/>
        </w:rPr>
        <w:t xml:space="preserve"> (RFC 3227), recolectando primero los datos que se pierden más rápido, como la memoria, y mantener la </w:t>
      </w:r>
      <w:r>
        <w:rPr>
          <w:rFonts w:ascii="Calibri" w:cs="Calibri" w:eastAsia="Calibri" w:hAnsi="Calibri"/>
          <w:b/>
          <w:bCs/>
        </w:rPr>
        <w:t xml:space="preserve">cadena de custodia</w:t>
      </w:r>
      <w:r>
        <w:rPr>
          <w:rFonts w:ascii="Calibri" w:cs="Calibri" w:eastAsia="Calibri" w:hAnsi="Calibri"/>
        </w:rPr>
        <w:t xml:space="preserve">. El proceso forense comprende recolección, examen, análisis y presentación de informes.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Comunicación</w:t>
      </w:r>
    </w:p>
    <w:p>
      <w:pPr>
        <w:spacing w:after="100"/>
      </w:pPr>
      <w:r>
        <w:rPr>
          <w:rFonts w:ascii="Calibri" w:cs="Calibri" w:eastAsia="Calibri" w:hAnsi="Calibri"/>
        </w:rPr>
        <w:t xml:space="preserve">El equipo legal debe revisar si existe obligación de notificar a los clientes y a las autoridades, dado que se vieron afectadas las bases de datos de clientes. Un mensaje claro a los clientes ayuda a limitar el daño reputacional.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7. Recomendaciones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Corto plazo (0 a 3 meses):</w:t>
      </w:r>
      <w:r>
        <w:rPr>
          <w:rFonts w:ascii="Calibri" w:cs="Calibri" w:eastAsia="Calibri" w:hAnsi="Calibri"/>
        </w:rPr>
        <w:t xml:space="preserve"> Actualizar el antivirus y los parches, activar un filtro de correo, desactivar las macros, hacer copias de seguridad completas y fuera de línea (con pruebas de restauración), establecer una política de contraseñas, hacer simulacros de phishing y probar el plan de respuesta con un ejercicio de mesa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Mediano plazo (3 a 12 meses):</w:t>
      </w:r>
      <w:r>
        <w:rPr>
          <w:rFonts w:ascii="Calibri" w:cs="Calibri" w:eastAsia="Calibri" w:hAnsi="Calibri"/>
        </w:rPr>
        <w:t xml:space="preserve"> Segmentar la red (VLAN y DMZ), implementar un SIEM con registros centralizados, aplicar el principio de privilegio mínimo, elaborar un plan de continuidad del negocio y de recuperación ante desastres (con BIA, RTO y RPO definidos) y contratar un seguro de ciberriesgo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Largo plazo (más de 12 meses):</w:t>
      </w:r>
      <w:r>
        <w:rPr>
          <w:rFonts w:ascii="Calibri" w:cs="Calibri" w:eastAsia="Calibri" w:hAnsi="Calibri"/>
        </w:rPr>
        <w:t xml:space="preserve"> Adoptar el modelo Zero Trust, realizar auditorías y pruebas de penetración periódicas, establecer una gobernanza de ciberseguridad con políticas formales (por ejemplo, alineada con ISO 27000) e incorporar inteligencia de amenazas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8. Conclusión</w:t>
      </w:r>
    </w:p>
    <w:p>
      <w:pPr>
        <w:spacing w:after="100"/>
      </w:pPr>
      <w:r>
        <w:rPr>
          <w:rFonts w:ascii="Calibri" w:cs="Calibri" w:eastAsia="Calibri" w:hAnsi="Calibri"/>
        </w:rPr>
        <w:t xml:space="preserve">El caso de TechNova muestra que crecer rápido sin seguridad acumula riesgos: la protección debe crecer al mismo ritmo que la infraestructura. Las medidas implementadas reducen el riesgo, pero no lo eliminan, por lo que hay que cerrar las brechas pendientes y mantener una revisión continua. Con copias de seguridad sólidas y un plan de respuesta probado, el incidente habría costado mucho menos que 75 000 USD y no habría paralizado la operación durante cinco días.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2026-10-23T14:24:31.643Z</dcterms:created>
  <dcterms:modified xsi:type="dcterms:W3CDTF">2026-10-23T14:24:31.643Z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