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Caso de estudio: Riesgos y ataques cibernéticos en una empresa mediana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TechNova S.A.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Resumen del caso</w:t>
      </w:r>
    </w:p>
    <w:p>
      <w:pPr>
        <w:spacing w:after="100"/>
      </w:pPr>
      <w:r>
        <w:rPr>
          <w:rFonts w:ascii="Calibri" w:cs="Calibri" w:eastAsia="Calibri" w:hAnsi="Calibri"/>
        </w:rPr>
        <w:t xml:space="preserve">TechNova S.A. es una empresa de servicios tecnológicos y consultoría con 250 empleados. Su infraestructura combina servidores internos y en la nube (Azure), ERP y CRM en línea, correo corporativo, Teams y SharePoint. En los últimos dos años creció rápido, pero no hizo auditorías de seguridad ni capacitó a su personal.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 marzo de 2024 sufrió un ataque de </w:t>
      </w:r>
      <w:r>
        <w:rPr>
          <w:rFonts w:ascii="Calibri" w:cs="Calibri" w:eastAsia="Calibri" w:hAnsi="Calibri"/>
          <w:b/>
          <w:bCs/>
        </w:rPr>
        <w:t xml:space="preserve">ransomware</w:t>
      </w:r>
      <w:r>
        <w:rPr>
          <w:rFonts w:ascii="Calibri" w:cs="Calibri" w:eastAsia="Calibri" w:hAnsi="Calibri"/>
        </w:rPr>
        <w:t xml:space="preserve">. Todo empezó con un correo de phishing dirigido a contabilidad, que parecía venir de un proveedor habitual e incluía un PDF que ejecutó un script malicioso. El ataque dejó estas consecuencias: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Cifrado del 80 % de los archivos del servidor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Pérdida temporal de acceso a las bases de datos de clientes.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Exigencia de un rescate de 15 000 USD en criptomonedas.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Cinco días de operaciones paralizadas.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Pérdida estimada de 75 000 USD entre costos directos e indirectos.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Identificación del ataque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 trata de un ataque de </w:t>
      </w:r>
      <w:r>
        <w:rPr>
          <w:rFonts w:ascii="Calibri" w:cs="Calibri" w:eastAsia="Calibri" w:hAnsi="Calibri"/>
          <w:b/>
          <w:bCs/>
        </w:rPr>
        <w:t xml:space="preserve">ransomware</w:t>
      </w:r>
      <w:r>
        <w:rPr>
          <w:rFonts w:ascii="Calibri" w:cs="Calibri" w:eastAsia="Calibri" w:hAnsi="Calibri"/>
        </w:rPr>
        <w:t xml:space="preserve"> con ingeniería social como vector de entrada (phishing). La amenaza es un actor externo con motivación económica, y los activos afectados fueron el servidor principal, las bases de datos de clientes, el ERP y CRM, y la continuidad de las operaciones.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Tríada de la 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Principio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Cómo se vio afectado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Disponibilidad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 el más afectado: los archivos quedaron cifrados, las bases de datos inaccesibles y la empresa estuvo cinco días sin operar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Integridad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archivos cifrados dejaron de ser utilizables, y mientras no se verifiquen no podemos asegurar que los datos no hayan sido alterados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Confidencialidad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Está en riesgo porque el malware se conectó a un servidor remoto. El caso no confirma robo de datos, así que habría que investigarlo, ya que algunos ransomware roban la información antes de cifrarla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Análisis con la Cadena de Eliminación Cibernética (Cyber Kill 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46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N.°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Paso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pasó en TechNova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Reconocimiento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Suponemos que el atacante investigó a la empresa y eligió a contabilidad y a un proveedor habitual como objetivo, porque el correo era muy creíble. El caso no lo menciona de forma explícita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Armamentización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Preparó un PDF con un script malicioso que ejecuta el ransomware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Entrega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Envió un correo de phishing que aparentaba ser de un proveedor conocido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Explotación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empleado abrió el archivo y se ejecutó el script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Instalación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malware se instaló y se propagó. La falta de segmentación de red le permitió llegar al servidor principal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Comando y Control (CnC)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conectó con un servidor remoto del atacante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Acciones sobre Objetivos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Cifró el 80 % de los archivos y exigió el rescate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La cadena se pudo cortar en tres puntos: en la </w:t>
      </w:r>
      <w:r>
        <w:rPr>
          <w:rFonts w:ascii="Calibri" w:cs="Calibri" w:eastAsia="Calibri" w:hAnsi="Calibri"/>
          <w:b/>
          <w:bCs/>
        </w:rPr>
        <w:t xml:space="preserve">entrega</w:t>
      </w:r>
      <w:r>
        <w:rPr>
          <w:rFonts w:ascii="Calibri" w:cs="Calibri" w:eastAsia="Calibri" w:hAnsi="Calibri"/>
        </w:rPr>
        <w:t xml:space="preserve">, con un filtro de correo y de adjuntos; en la </w:t>
      </w:r>
      <w:r>
        <w:rPr>
          <w:rFonts w:ascii="Calibri" w:cs="Calibri" w:eastAsia="Calibri" w:hAnsi="Calibri"/>
          <w:b/>
          <w:bCs/>
        </w:rPr>
        <w:t xml:space="preserve">explotación</w:t>
      </w:r>
      <w:r>
        <w:rPr>
          <w:rFonts w:ascii="Calibri" w:cs="Calibri" w:eastAsia="Calibri" w:hAnsi="Calibri"/>
        </w:rPr>
        <w:t xml:space="preserve">, con usuarios capacitados, macros desactivadas y antivirus actualizado; y en la </w:t>
      </w:r>
      <w:r>
        <w:rPr>
          <w:rFonts w:ascii="Calibri" w:cs="Calibri" w:eastAsia="Calibri" w:hAnsi="Calibri"/>
          <w:b/>
          <w:bCs/>
        </w:rPr>
        <w:t xml:space="preserve">instalación</w:t>
      </w:r>
      <w:r>
        <w:rPr>
          <w:rFonts w:ascii="Calibri" w:cs="Calibri" w:eastAsia="Calibri" w:hAnsi="Calibri"/>
        </w:rPr>
        <w:t xml:space="preserve">, con segmentación de red. Mientras más temprano se corte, menor es el daño.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Según el marco MITRE ATT&amp;CK, el ataque corresponde a las técnicas de phishing (T1566), ejecución por el usuario (T1204) y datos cifrados para causar impacto (T1486).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Causas raíz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Causa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Humana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empleado abrió el archivo sin verificar al remitente y no tenía formación en seguridad digital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Técnica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Antivirus sin actualizar, red sin segmentar, copias de seguridad poco seguras, contraseñas débiles y ausencia de autenticación multifactor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Organizacional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Crecimiento acelerado sin auditorías, sin capacitación, sin plan de respuesta a incidentes y sin políticas de seguridad claras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Concluimos que el ataque no fue únicamente un fallo técnico: combinó un error humano con la falta de controles básicos y de gobernanza.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Evaluación de riesgos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Matriz de riesgos (análisis cualitativo)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nivel de riesgo se obtiene combinando la probabilidad con el impacto. Los valores iniciales son los del caso. Para la última columna hacemos una </w:t>
      </w:r>
      <w:r>
        <w:rPr>
          <w:rFonts w:ascii="Calibri" w:cs="Calibri" w:eastAsia="Calibri" w:hAnsi="Calibri"/>
          <w:b/>
          <w:bCs/>
        </w:rPr>
        <w:t xml:space="preserve">estimación</w:t>
      </w:r>
      <w:r>
        <w:rPr>
          <w:rFonts w:ascii="Calibri" w:cs="Calibri" w:eastAsia="Calibri" w:hAnsi="Calibri"/>
        </w:rPr>
        <w:t xml:space="preserve"> del nivel residual, es decir, el riesgo que queda después de aplicar las medidas correctivas, considerando cuánto cubre cada una de ellas.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00"/>
        <w:gridCol w:w="1050"/>
        <w:gridCol w:w="1200"/>
        <w:gridCol w:w="1450"/>
        <w:gridCol w:w="2210"/>
      </w:tblGrid>
      <w:tr>
        <w:trPr>
          <w:tblHeader/>
        </w:trP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Riesgo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Probabilidad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Nivel inicial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Nivel residual (estimado)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Justificación</w:t>
            </w:r>
          </w:p>
        </w:tc>
      </w:tr>
      <w:t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Phishing y malware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Crítico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capacitación y el EDR ayudan, pero falta un filtro de correo</w:t>
            </w:r>
          </w:p>
        </w:tc>
      </w:tr>
      <w:t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Falta de capacitación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Bajo / Medio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capacitación es obligatoria, pero debe repetirse</w:t>
            </w:r>
          </w:p>
        </w:tc>
      </w:tr>
      <w:t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Pérdida de datos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Solo existen copias parciales</w:t>
            </w:r>
          </w:p>
        </w:tc>
      </w:tr>
      <w:t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Acceso no autorizado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Crítico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MFA ayuda, pero falta una política de contraseñas</w:t>
            </w:r>
          </w:p>
        </w:tc>
      </w:tr>
      <w:tr>
        <w:tc>
          <w:tcPr>
            <w:tcW w:type="dxa" w:w="1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Reputacional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Media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Alto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Medio / Alto</w:t>
            </w:r>
          </w:p>
        </w:tc>
        <w:tc>
          <w:tcPr>
            <w:tcW w:type="dxa" w:w="22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Depende de cómo se comunique el incidente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Los dos riesgos críticos, phishing y acceso no autorizado, deben atenderse primero, y después los de nivel alto.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Análisis cuantitativo</w:t>
      </w:r>
    </w:p>
    <w:p>
      <w:pPr>
        <w:spacing w:after="100"/>
      </w:pPr>
      <w:r>
        <w:rPr>
          <w:rFonts w:ascii="Calibri" w:cs="Calibri" w:eastAsia="Calibri" w:hAnsi="Calibri"/>
        </w:rPr>
        <w:t xml:space="preserve">Del caso tomamos la </w:t>
      </w:r>
      <w:r>
        <w:rPr>
          <w:rFonts w:ascii="Calibri" w:cs="Calibri" w:eastAsia="Calibri" w:hAnsi="Calibri"/>
          <w:b/>
          <w:bCs/>
        </w:rPr>
        <w:t xml:space="preserve">expectativa de pérdida única (SLE)</w:t>
      </w:r>
      <w:r>
        <w:rPr>
          <w:rFonts w:ascii="Calibri" w:cs="Calibri" w:eastAsia="Calibri" w:hAnsi="Calibri"/>
        </w:rPr>
        <w:t xml:space="preserve">, que es de </w:t>
      </w:r>
      <w:r>
        <w:rPr>
          <w:rFonts w:ascii="Calibri" w:cs="Calibri" w:eastAsia="Calibri" w:hAnsi="Calibri"/>
          <w:b/>
          <w:bCs/>
        </w:rPr>
        <w:t xml:space="preserve">75 000 USD</w:t>
      </w:r>
      <w:r>
        <w:rPr>
          <w:rFonts w:ascii="Calibri" w:cs="Calibri" w:eastAsia="Calibri" w:hAnsi="Calibri"/>
        </w:rPr>
        <w:t xml:space="preserve">. Como el caso no da la frecuencia del ataque, </w:t>
      </w:r>
      <w:r>
        <w:rPr>
          <w:rFonts w:ascii="Calibri" w:cs="Calibri" w:eastAsia="Calibri" w:hAnsi="Calibri"/>
          <w:b/>
          <w:bCs/>
        </w:rPr>
        <w:t xml:space="preserve">supongamos que ocurre una vez cada dos años</w:t>
      </w:r>
      <w:r>
        <w:rPr>
          <w:rFonts w:ascii="Calibri" w:cs="Calibri" w:eastAsia="Calibri" w:hAnsi="Calibri"/>
        </w:rPr>
        <w:t xml:space="preserve">, es decir, que la </w:t>
      </w:r>
      <w:r>
        <w:rPr>
          <w:rFonts w:ascii="Calibri" w:cs="Calibri" w:eastAsia="Calibri" w:hAnsi="Calibri"/>
          <w:b/>
          <w:bCs/>
        </w:rPr>
        <w:t xml:space="preserve">tasa de ocurrencia anual (ARO) es de 0,5</w:t>
      </w:r>
      <w:r>
        <w:rPr>
          <w:rFonts w:ascii="Calibri" w:cs="Calibri" w:eastAsia="Calibri" w:hAnsi="Calibri"/>
        </w:rPr>
        <w:t xml:space="preserve">. Con ese supuesto: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ALE</w:t>
      </w:r>
      <w:r>
        <w:rPr>
          <w:rFonts w:ascii="Calibri" w:cs="Calibri" w:eastAsia="Calibri" w:hAnsi="Calibri"/>
        </w:rPr>
        <w:t xml:space="preserve"> (expectativa de pérdida anual) = SLE × ARO = 75 000 × 0,5 = </w:t>
      </w:r>
      <w:r>
        <w:rPr>
          <w:rFonts w:ascii="Calibri" w:cs="Calibri" w:eastAsia="Calibri" w:hAnsi="Calibri"/>
          <w:b/>
          <w:bCs/>
        </w:rPr>
        <w:t xml:space="preserve">37 500 USD al año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</w:rPr>
        <w:t xml:space="preserve">Si los controles (MFA, EDR, capacitación y copias de seguridad) cuestan menos de esa cifra al año y reducen de forma importante la probabilidad del ataque, la inversión se justifica.</w:t>
      </w:r>
    </w:p>
    <w:p>
      <w:pPr>
        <w:spacing w:after="100"/>
      </w:pPr>
      <w:r>
        <w:rPr>
          <w:rFonts w:ascii="Calibri" w:cs="Calibri" w:eastAsia="Calibri" w:hAnsi="Calibri"/>
        </w:rPr>
        <w:t xml:space="preserve">Pagar el rescate de 15 000 USD tampoco es una buena opción. No garantiza recuperar los datos, financia al atacante y no corrige la causa del problema. Además, la pérdida total incluye costos que el pago no evita, como los cinco días sin operar.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Respuesta al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Respuesta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Aplicación en TechNova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Reducción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 la principal: MFA, EDR, capacitación, segmentación, parches y copias de seguridad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Transferencia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Contratar un seguro de ciberriesgo y apoyarse en los acuerdos de nivel de servicio de Azure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Aceptación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Aceptar solo el riesgo residual bajo, con revisiones periódicas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Evasión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Deshabilitar funciones de alto riesgo, como las macros de los documentos que llegan por correo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5. Evaluación de las medidas implementadas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260"/>
        <w:gridCol w:w="2500"/>
      </w:tblGrid>
      <w:tr>
        <w:trPr>
          <w:tblHeader/>
        </w:trP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Medida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 de control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Riesgo que reduce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Observación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Restauración con copias de seguridad parciales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 recuperación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Pérdida de datos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 insuficiente: se necesitan copias completas, fuera de línea y probadas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MFA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Preventivo (técnico)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Acceso no autorizado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 una buena medida, pero falta una política de contraseñas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Auditoría externa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 detección (administrativo)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Todos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Debe repetirse periódicamente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Capacitación en ciberhigiene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Preventivo (administrativo)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Phishing y falta de capacitación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Conviene reforzarla con simulacros de phishing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EDR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 detección y correctivo (técnico)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Malware y ransomware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Debe monitorearse de forma permanente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Plan de respuesta a incidentes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Correctivo (administrativo)</w:t>
            </w:r>
          </w:p>
        </w:tc>
        <w:tc>
          <w:tcPr>
            <w:tcW w:type="dxa" w:w="2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Impacto de futuros incidentes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Debe practicarse con ejercicios de mesa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Las medidas van en la dirección correcta, pero no cubren todo. Los controles que siguen pendientes se incluyen en las recomendaciones.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6. Plan de respuesta a incidentes (ciclo de vida de NIST)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Fase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Acciones para TechNova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1. Preparación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Crear el CSIRT con representantes de TI, Legal, Recursos Humanos, Relaciones Públicas, Gerencia y Continuidad del negocio. Definir roles, herramientas, inventario de activos, copias de seguridad probadas y contactos externos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2. Detección y análisis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Detectar con el EDR y un SIEM, confirmar que se trata de un incidente real, determinar su alcance, clasificarlo, priorizarlo y notificar a las partes interesadas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3. Contención, erradicación y recuperación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Aislar de inmediato los equipos infectados y desconectar el servidor afectado. Luego eliminar el malware, identificar todos los hosts que necesitan corrección, cambiar credenciales y parchear. Por último, restaurar desde copias limpias y verificar antes de reconectar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4. Actividades posteriores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Revisar qué falló, aplicar las lecciones aprendidas y actualizar controles y políticas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Manejo de la evidencia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que conservar los </w:t>
      </w:r>
      <w:r>
        <w:rPr>
          <w:rFonts w:ascii="Calibri" w:cs="Calibri" w:eastAsia="Calibri" w:hAnsi="Calibri"/>
          <w:b/>
          <w:bCs/>
        </w:rPr>
        <w:t xml:space="preserve">indicadores de compromiso</w:t>
      </w:r>
      <w:r>
        <w:rPr>
          <w:rFonts w:ascii="Calibri" w:cs="Calibri" w:eastAsia="Calibri" w:hAnsi="Calibri"/>
        </w:rPr>
        <w:t xml:space="preserve"> (el correo, el PDF, los registros y la conexión al servidor remoto) para el análisis y la atribución. Se debe seguir el </w:t>
      </w:r>
      <w:r>
        <w:rPr>
          <w:rFonts w:ascii="Calibri" w:cs="Calibri" w:eastAsia="Calibri" w:hAnsi="Calibri"/>
          <w:b/>
          <w:bCs/>
        </w:rPr>
        <w:t xml:space="preserve">orden de volatilidad</w:t>
      </w:r>
      <w:r>
        <w:rPr>
          <w:rFonts w:ascii="Calibri" w:cs="Calibri" w:eastAsia="Calibri" w:hAnsi="Calibri"/>
        </w:rPr>
        <w:t xml:space="preserve"> (RFC 3227), recolectando primero los datos que se pierden más rápido, como la memoria, y mantener la </w:t>
      </w:r>
      <w:r>
        <w:rPr>
          <w:rFonts w:ascii="Calibri" w:cs="Calibri" w:eastAsia="Calibri" w:hAnsi="Calibri"/>
          <w:b/>
          <w:bCs/>
        </w:rPr>
        <w:t xml:space="preserve">cadena de custodia</w:t>
      </w:r>
      <w:r>
        <w:rPr>
          <w:rFonts w:ascii="Calibri" w:cs="Calibri" w:eastAsia="Calibri" w:hAnsi="Calibri"/>
        </w:rPr>
        <w:t xml:space="preserve">. El proceso forense comprende recolección, examen, análisis y presentación de informes.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Comunicación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equipo legal debe revisar si existe obligación de notificar a los clientes y a las autoridades, dado que se vieron afectadas las bases de datos de clientes. Un mensaje claro a los clientes ayuda a limitar el daño reputacional.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7. Recomendaciones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Plazo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Acciones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Corto plazo (0 a 3 meses)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Actualizar el antivirus y los parches, activar un filtro de correo, desactivar las macros, hacer copias de seguridad completas y fuera de línea (con pruebas de restauración), establecer una política de contraseñas, hacer simulacros de phishing y probar el plan de respuesta con un ejercicio de mesa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Mediano plazo (3 a 12 meses)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Segmentar la red (VLAN y DMZ), implementar un SIEM con registros centralizados, aplicar el principio de privilegio mínimo, elaborar un plan de continuidad del negocio y de recuperación ante desastres (con BIA, RTO y RPO definidos) y contratar un seguro de ciberriesgo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Largo plazo (más de 12 meses)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Adoptar el modelo Zero Trust, realizar auditorías y pruebas de penetración periódicas, establecer una gobernanza de ciberseguridad con políticas formales (por ejemplo, alineada con ISO 27000) e incorporar inteligencia de amenazas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8. Conclusión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caso de TechNova muestra que crecer rápido sin seguridad acumula riesgos: la protección debe crecer al mismo ritmo que la infraestructura. Las medidas implementadas reducen el riesgo, pero no lo eliminan, por lo que hay que cerrar las brechas pendientes y mantener una revisión continua. Con copias de seguridad sólidas y un plan de respuesta probado, el incidente habría costado mucho menos que 75 000 USD y no habría paralizado la operación durante cinco días.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2026-10-23T14:20:20.668Z</dcterms:created>
  <dcterms:modified xsi:type="dcterms:W3CDTF">2026-10-23T14:20:20.669Z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