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both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Radley" w:cs="Radley" w:eastAsia="Radley" w:hAnsi="Radley"/>
          <w:b w:val="1"/>
          <w:sz w:val="48"/>
          <w:szCs w:val="48"/>
          <w:rtl w:val="0"/>
        </w:rPr>
        <w:t xml:space="preserve">Talent Intelligence Report: Mapping your Organization's workforce skill vs. 20 Competitors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pBdr>
          <w:top w:color="e1e7ef" w:space="0" w:sz="0" w:val="none"/>
          <w:left w:color="e1e7ef" w:space="0" w:sz="0" w:val="none"/>
          <w:bottom w:color="e1e7ef" w:space="0" w:sz="0" w:val="none"/>
          <w:right w:color="e1e7ef" w:space="0" w:sz="0" w:val="none"/>
          <w:between w:color="e1e7ef" w:space="0" w:sz="0" w:val="none"/>
        </w:pBdr>
        <w:shd w:fill="ffffff" w:val="clear"/>
        <w:spacing w:after="120" w:before="0" w:line="240" w:lineRule="auto"/>
        <w:ind w:left="-1440" w:right="-1440" w:firstLine="0"/>
        <w:jc w:val="center"/>
        <w:rPr>
          <w:rFonts w:ascii="Calibri" w:cs="Calibri" w:eastAsia="Calibri" w:hAnsi="Calibri"/>
          <w:b w:val="1"/>
          <w:sz w:val="28"/>
          <w:szCs w:val="28"/>
        </w:rPr>
      </w:pPr>
      <w:bookmarkStart w:colFirst="0" w:colLast="0" w:name="_3x0gemrrddhi" w:id="0"/>
      <w:bookmarkEnd w:id="0"/>
      <w:r w:rsidDel="00000000" w:rsidR="00000000" w:rsidRPr="00000000">
        <w:rPr>
          <w:rFonts w:ascii="Arial" w:cs="Arial" w:eastAsia="Arial" w:hAnsi="Arial"/>
          <w:color w:val="282c34"/>
          <w:sz w:val="46"/>
          <w:szCs w:val="46"/>
        </w:rPr>
        <w:drawing>
          <wp:inline distB="114300" distT="114300" distL="114300" distR="114300">
            <wp:extent cx="6872288" cy="55876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1516" l="2690" r="2168" t="1843"/>
                    <a:stretch>
                      <a:fillRect/>
                    </a:stretch>
                  </pic:blipFill>
                  <pic:spPr>
                    <a:xfrm>
                      <a:off x="0" y="0"/>
                      <a:ext cx="6872288" cy="558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1. Competitor Skill Proximity (Avg Weighted Overlap %)</w:t>
      </w:r>
    </w:p>
    <w:p w:rsidR="00000000" w:rsidDel="00000000" w:rsidP="00000000" w:rsidRDefault="00000000" w:rsidRPr="00000000" w14:paraId="00000005">
      <w:pPr>
        <w:keepNext w:val="1"/>
        <w:keepLines w:val="1"/>
        <w:spacing w:after="0" w:before="48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757863" cy="317882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6684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3178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spacing w:after="240" w:before="240" w:lineRule="auto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How the Proximity Score was calculated</w:t>
        <w:br w:type="textWrapping"/>
      </w: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 The Competitor Skill Proximity (Avg Weighted Overlap %) has been derived from employee-to-employee matches between Manipal Fintech and competitor firms. Each match is scored for skill similarity. These raw similarity scores are then adjusted using Manipal’s own skill gap importance matrix:</w:t>
      </w:r>
    </w:p>
    <w:p w:rsidR="00000000" w:rsidDel="00000000" w:rsidP="00000000" w:rsidRDefault="00000000" w:rsidRPr="00000000" w14:paraId="00000007">
      <w:pPr>
        <w:keepNext w:val="1"/>
        <w:keepLines w:val="1"/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Critical gaps = 1.0 weight</w:t>
        <w:br w:type="textWrapping"/>
      </w:r>
    </w:p>
    <w:p w:rsidR="00000000" w:rsidDel="00000000" w:rsidP="00000000" w:rsidRDefault="00000000" w:rsidRPr="00000000" w14:paraId="00000008">
      <w:pPr>
        <w:keepNext w:val="1"/>
        <w:keepLines w:val="1"/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Important gaps = 0.7 weight</w:t>
        <w:br w:type="textWrapping"/>
      </w:r>
    </w:p>
    <w:p w:rsidR="00000000" w:rsidDel="00000000" w:rsidP="00000000" w:rsidRDefault="00000000" w:rsidRPr="00000000" w14:paraId="00000009">
      <w:pPr>
        <w:keepNext w:val="1"/>
        <w:keepLines w:val="1"/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Nice-to-have gaps = 0.4 weight</w:t>
      </w:r>
    </w:p>
    <w:p w:rsidR="00000000" w:rsidDel="00000000" w:rsidP="00000000" w:rsidRDefault="00000000" w:rsidRPr="00000000" w14:paraId="0000000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This ensures the overlap measure does not merely reflect superficial skills but emphasizes areas that matter most to the business. For example, if a competitor has strong overlap with Manipal in critical digital lending or risk management skills, the score is pushed higher.</w:t>
      </w:r>
    </w:p>
    <w:p w:rsidR="00000000" w:rsidDel="00000000" w:rsidP="00000000" w:rsidRDefault="00000000" w:rsidRPr="00000000" w14:paraId="0000000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Implications for a CHRO</w:t>
        <w:br w:type="textWrapping"/>
        <w:t xml:space="preserve"> For a Chief Human Resources Officer, these scores act as an early warning system:</w:t>
      </w:r>
    </w:p>
    <w:p w:rsidR="00000000" w:rsidDel="00000000" w:rsidP="00000000" w:rsidRDefault="00000000" w:rsidRPr="00000000" w14:paraId="0000000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Competitors with higher overlap (FlexiLoans, MoneyTap, NeoGrowth, Lendingkart, Capital Float) are most likely to target and attract Manipal employees because of skill similarity and immediate job mobility.</w:t>
        <w:br w:type="textWrapping"/>
      </w:r>
    </w:p>
    <w:p w:rsidR="00000000" w:rsidDel="00000000" w:rsidP="00000000" w:rsidRDefault="00000000" w:rsidRPr="00000000" w14:paraId="0000000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Lower overlap players (Rupeek, LoanTap) pose less direct skill-pull risk, but may still compete on compensation or market positioning.</w:t>
        <w:br w:type="textWrapping"/>
      </w:r>
    </w:p>
    <w:p w:rsidR="00000000" w:rsidDel="00000000" w:rsidP="00000000" w:rsidRDefault="00000000" w:rsidRPr="00000000" w14:paraId="0000000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The CHRO can use this data to:</w:t>
      </w:r>
    </w:p>
    <w:p w:rsidR="00000000" w:rsidDel="00000000" w:rsidP="00000000" w:rsidRDefault="00000000" w:rsidRPr="00000000" w14:paraId="0000000F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24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Prioritize retention measures in high-overlap functions (e.g., tech, product, risk analytics).</w:t>
        <w:br w:type="textWrapping"/>
      </w:r>
    </w:p>
    <w:p w:rsidR="00000000" w:rsidDel="00000000" w:rsidP="00000000" w:rsidRDefault="00000000" w:rsidRPr="00000000" w14:paraId="00000010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Design differentiated career paths — if a competitor can offer the same skill environment, Manipal must compete on growth opportunities and leadership exposure.</w:t>
        <w:br w:type="textWrapping"/>
      </w:r>
    </w:p>
    <w:p w:rsidR="00000000" w:rsidDel="00000000" w:rsidP="00000000" w:rsidRDefault="00000000" w:rsidRPr="00000000" w14:paraId="00000011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Benchmark internal training — high overlap also shows where Manipal’s workforce is aligned with industry standards, and where capability-building can be sharpened.</w:t>
        <w:br w:type="textWrapping"/>
      </w:r>
    </w:p>
    <w:p w:rsidR="00000000" w:rsidDel="00000000" w:rsidP="00000000" w:rsidRDefault="00000000" w:rsidRPr="00000000" w14:paraId="00000012">
      <w:pPr>
        <w:keepNext w:val="1"/>
        <w:keepLines w:val="1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beforeAutospacing="0" w:line="276" w:lineRule="auto"/>
        <w:ind w:left="720" w:right="0" w:hanging="360"/>
        <w:jc w:val="left"/>
        <w:rPr>
          <w:rFonts w:ascii="Calibri" w:cs="Calibri" w:eastAsia="Calibri" w:hAnsi="Calibri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Engage with business leaders — this data supports targeted incentive programs, especially in functions where attrition risk aligns with high competitor proximity.</w:t>
        <w:br w:type="textWrapping"/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2. Most Frequent Capability Gaps vs Competitors (Rated 1–5)</w:t>
      </w:r>
    </w:p>
    <w:p w:rsidR="00000000" w:rsidDel="00000000" w:rsidP="00000000" w:rsidRDefault="00000000" w:rsidRPr="00000000" w14:paraId="00000015">
      <w:pPr>
        <w:keepNext w:val="1"/>
        <w:keepLines w:val="1"/>
        <w:spacing w:after="0" w:before="480" w:lineRule="auto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</w:rPr>
        <w:drawing>
          <wp:inline distB="114300" distT="114300" distL="114300" distR="114300">
            <wp:extent cx="5486400" cy="3454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What it means:</w:t>
        <w:br w:type="textWrapping"/>
      </w:r>
      <w:r w:rsidDel="00000000" w:rsidR="00000000" w:rsidRPr="00000000">
        <w:rPr>
          <w:rFonts w:ascii="Verdana" w:cs="Verdana" w:eastAsia="Verdana" w:hAnsi="Verdana"/>
          <w:rtl w:val="0"/>
        </w:rPr>
        <w:t xml:space="preserve"> This shows the recurring skill domains where your workforce is weaker compared to competitors. A score of 5 means the gap is critical and shows up repeatedly across employees; a score of 1 means it’s minor or rare.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How it was done: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For each role, we compared your employees’ skills against benchmark skills in competitor roles.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360" w:lineRule="auto"/>
        <w:ind w:left="720" w:right="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Each gap (e.g., “no AI exposure,” “limited leadership experience”) was tagged.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Verdana" w:cs="Verdana" w:eastAsia="Verdana" w:hAnsi="Verdana"/>
          <w:u w:val="no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Frequency of occurrence was then scored 1–5.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3.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Skill Gap Analysis and Hyper Personalised Courses Created for your employees (please see the links in Appendix 1)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-144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7281863" cy="382750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81863" cy="38275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4. The Value Engine Lifecycle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-1440" w:right="-126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7199591" cy="369979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9591" cy="36997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5. Recommended Skill hire from Competition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-1440" w:hanging="144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7344902" cy="4288994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4902" cy="4288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360" w:lineRule="auto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340.0" w:type="dxa"/>
        <w:jc w:val="left"/>
        <w:tblInd w:w="-150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2910"/>
        <w:gridCol w:w="1740"/>
        <w:gridCol w:w="4095"/>
        <w:tblGridChange w:id="0">
          <w:tblGrid>
            <w:gridCol w:w="2595"/>
            <w:gridCol w:w="2910"/>
            <w:gridCol w:w="1740"/>
            <w:gridCol w:w="409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360" w:lineRule="auto"/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Skill Gap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360" w:lineRule="auto"/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Why Hard to Upskill Internally?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360" w:lineRule="auto"/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Competitor Sources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360" w:lineRule="auto"/>
              <w:ind w:right="-1440"/>
              <w:jc w:val="center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Example Employees (LinkedIn)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NBFC Compliance &amp; Regulatory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Requires regulatory exposure, RBI interactions, legal background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NeoGrowth, Rupeek, Cashe, KreditBee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Rajan Sethi (NeoGrowth, –), Nitika Madan (Rupeek, –), Gabriela Castillo (Cashe, –), Ayushi Tripathi (KreditBee, –)</w:t>
            </w:r>
          </w:p>
        </w:tc>
      </w:tr>
      <w:tr>
        <w:trPr>
          <w:cantSplit w:val="0"/>
          <w:trHeight w:val="15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Advanced Credit Risk &amp; Underwriting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Years of credit modeling &amp; domain data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NeoGrowth, Rupeek, ZestMoney, Lendingkart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Argho Chatterjee (NeoGrowth, –), Prashant Mehta (Rupeek, –), Akshita Pingle (ZestMoney, –), Anjali Agrawal (Lendingkart, –)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BD / Partnerships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Requires networks, market credibility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Rupeek, Cred, MoneyTap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Govind Shukla (Rupeek, –), Ahmed Mansour (Cred, –), Harleen Kaur (MoneyTap, –)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Sales Scale-up (Consumer Lending)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Experience in scaling loan products in market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Cred, Rupeek, Lendingkart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Benedicte Grevstad (Cred, –), Vansh Dhingra (Rupeek, –), Prasad Bhandary (Lendingkart, –)</w:t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Microservices / Cloud-native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High technical barrier, needs system architecture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EarlySalary, Indiagold, NeoGrowth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Abhijeet Jadhav (EarlySalary, –), Satyam Rastogi (Indiagold, –), Miguel Cornejo (NeoGrowth, –)</w:t>
            </w:r>
          </w:p>
        </w:tc>
      </w:tr>
      <w:tr>
        <w:trPr>
          <w:cantSplit w:val="0"/>
          <w:trHeight w:val="15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Product Management (BNPL / Embedded Finance)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Domain knowledge + fintech product strategy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Rupeek, ZestMoney, FlexiLoans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Nisarga Gotekar (Rupeek, –), Poojitha Pinniboyana (ZestMoney, –), Shahzad Sheikh (FlexiLoans, –)</w:t>
            </w:r>
          </w:p>
        </w:tc>
      </w:tr>
      <w:tr>
        <w:trPr>
          <w:cantSplit w:val="0"/>
          <w:trHeight w:val="159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line="360" w:lineRule="auto"/>
              <w:ind w:left="-1530" w:firstLine="0"/>
              <w:jc w:val="both"/>
              <w:rPr>
                <w:rFonts w:ascii="Verdana" w:cs="Verdana" w:eastAsia="Verdana" w:hAnsi="Verdan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sz w:val="18"/>
                <w:szCs w:val="18"/>
                <w:rtl w:val="0"/>
              </w:rPr>
              <w:t xml:space="preserve">Leadership / Strategy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Cannot be upskilled quickly, needs senior exposure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Cred, NeoGrowth, Rupeek, Lendingkart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line="360" w:lineRule="auto"/>
              <w:jc w:val="both"/>
              <w:rPr>
                <w:rFonts w:ascii="Verdana" w:cs="Verdana" w:eastAsia="Verdana" w:hAnsi="Verdana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sz w:val="18"/>
                <w:szCs w:val="18"/>
                <w:rtl w:val="0"/>
              </w:rPr>
              <w:t xml:space="preserve">Ahmed Mansour (Cred, –), Tainá Brito (NeoGrowth, –), Prashant Mehta (Rupeek, –), Ruchika Dargar (Lendingkart, –)</w:t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6. Predicted At-Risk Employees &amp; Competitor Pull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486400" cy="3229648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50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96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360" w:lineRule="auto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What it means:</w:t>
        <w:br w:type="textWrapping"/>
      </w:r>
      <w:r w:rsidDel="00000000" w:rsidR="00000000" w:rsidRPr="00000000">
        <w:rPr>
          <w:rFonts w:ascii="Verdana" w:cs="Verdana" w:eastAsia="Verdana" w:hAnsi="Verdana"/>
          <w:rtl w:val="0"/>
        </w:rPr>
        <w:t xml:space="preserve">This chart shows specific employees mapped to the competitors that are most likely to pull them away, based on similarity of their current skills to competitor job demands.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7. </w:t>
      </w: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Attrition Signals Heatmap (% of Employees Most Likely to be Pulled by Competitors)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</w:rPr>
        <w:drawing>
          <wp:inline distB="114300" distT="114300" distL="114300" distR="114300">
            <wp:extent cx="5486400" cy="3886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Fonts w:ascii="Verdana" w:cs="Verdana" w:eastAsia="Verdana" w:hAnsi="Verdana"/>
          <w:b w:val="1"/>
          <w:rtl w:val="0"/>
        </w:rPr>
        <w:t xml:space="preserve">What it shows: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By department (Tech, Product, Design, AI, Leadership), which competitors are most likely to attract your employees.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360" w:lineRule="auto"/>
        <w:ind w:left="0" w:right="0" w:firstLine="0"/>
        <w:jc w:val="both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How to read: Darker red = higher risk.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0" w:right="0" w:firstLine="0"/>
        <w:jc w:val="both"/>
        <w:rPr>
          <w:rFonts w:ascii="Verdana" w:cs="Verdana" w:eastAsia="Verdana" w:hAnsi="Verdan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id w:val="-1305520483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ppg81c2i9pp4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Executive Summary</w:t>
            </w:r>
          </w:hyperlink>
          <w:hyperlink w:anchor="_ppg81c2i9pp4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xgamrz1pcb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fxgamrz1pcbf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_fxgamrz1pcbf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Closing Skill Gaps &amp; Future-Ready Workforce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u6kjw5x732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ju6kjw5x732k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_ju6kjw5x732k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Unlocking Workforce Potential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4hdvqxgso6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k4hdvqxgso6x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_k4hdvqxgso6x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The Value Engine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fqp8booohew0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1.4.</w:t>
            </w:r>
          </w:hyperlink>
          <w:hyperlink w:anchor="_fqp8booohew0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_fqp8booohew0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Value Generation for the Enterprise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pgnomcqs8k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1.5.</w:t>
            </w:r>
          </w:hyperlink>
          <w:hyperlink w:anchor="_6pgnomcqs8kn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_6pgnomcqs8kn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Engagement Flow (Visual)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te5qvmvuu4a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1.6.</w:t>
            </w:r>
          </w:hyperlink>
          <w:hyperlink w:anchor="_te5qvmvuu4a8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_te5qvmvuu4a8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Skill Gaps and Recommended Courses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c2ugdjl7c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1.7.</w:t>
            </w:r>
          </w:hyperlink>
          <w:hyperlink w:anchor="_5c2ugdjl7c5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_5c2ugdjl7c5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Learning Path &amp; Value Generation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mjn3337jh1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1.8.</w:t>
            </w:r>
          </w:hyperlink>
          <w:hyperlink w:anchor="_ymjn3337jh1a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_ymjn3337jh1a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Continuous Learning &amp; Course Updates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pmzkp23gczz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1.9.</w:t>
            </w:r>
          </w:hyperlink>
          <w:hyperlink w:anchor="_pmzkp23gczza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_pmzkp23gczza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Strategic Value for CHRO Engagement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ejn5xj1lf7a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qejn5xj1lf7a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_qejn5xj1lf7a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Closest aggregate skill overlap (by Avg Weighted Overlap %):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hbmf6nbrinyn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bmf6nbrinyn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_hbmf6nbrinyn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Most frequent capability gaps vs.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: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4q1heonjtz7v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2.2.</w:t>
            </w:r>
          </w:hyperlink>
          <w:hyperlink w:anchor="_4q1heonjtz7v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_4q1heonjtz7v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Attrition signals: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zhu2ajspuop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2.3.</w:t>
            </w:r>
          </w:hyperlink>
          <w:hyperlink w:anchor="_kzhu2ajspuop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_kzhu2ajspuop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Results — Company Skill Proximity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rqag565t7m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2.4.</w:t>
            </w:r>
          </w:hyperlink>
          <w:hyperlink w:anchor="_krqag565t7mh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_krqag565t7mh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Results — Talent Mobility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1e1gg32tqm4w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2.5.</w:t>
            </w:r>
          </w:hyperlink>
          <w:hyperlink w:anchor="_1e1gg32tqm4w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_1e1gg32tqm4w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Predicted at-risk employees (top 10):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xy1gxjfs8g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2.6.</w:t>
            </w:r>
          </w:hyperlink>
          <w:hyperlink w:anchor="_xy1gxjfs8g9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_xy1gxjfs8g9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Recommendations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0vz5noikl7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l0vz5noikl76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_l0vz5noikl76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Skill Gap Analysis : Ankit Gupta — Growth Leader @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, ex-Flipkart | BITS Pilani &amp; IIM Alum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k44vbiiwim2f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3.1.</w:t>
            </w:r>
          </w:hyperlink>
          <w:hyperlink w:anchor="_k44vbiiwim2f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_k44vbiiwim2f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z6o4j8v1n69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3.2.</w:t>
            </w:r>
          </w:hyperlink>
          <w:hyperlink w:anchor="_z6o4j8v1n69b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_z6o4j8v1n69b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jsu8p1w0a8y2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jsu8p1w0a8y2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_jsu8p1w0a8y2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Skill Gap Analysis : Arun Vigneswaran — Head of People practice @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| Ex-Flipkart | TISS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xc101ao91on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4.1.</w:t>
            </w:r>
          </w:hyperlink>
          <w:hyperlink w:anchor="_xc101ao91onm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_xc101ao91onm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gywy8f8n3pkc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4.2.</w:t>
            </w:r>
          </w:hyperlink>
          <w:hyperlink w:anchor="_gywy8f8n3pkc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_gywy8f8n3pkc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b7829ta7lfq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ab7829ta7lfq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_ab7829ta7lfq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Skill Gap Analysis: Ashwath S. — Growth Catalyst @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ot5r367o07lg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5.1.</w:t>
            </w:r>
          </w:hyperlink>
          <w:hyperlink w:anchor="_ot5r367o07lg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_ot5r367o07lg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d1u888oabh06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5.2.</w:t>
            </w:r>
          </w:hyperlink>
          <w:hyperlink w:anchor="_d1u888oabh06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_d1u888oabh06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qs8emltochzu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qs8emltochzu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_qs8emltochzu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Skill Gap Analysis: Bhavesh Parvatkar, SDE 2 at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6fcndgz2abzx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6.1.</w:t>
            </w:r>
          </w:hyperlink>
          <w:hyperlink w:anchor="_6fcndgz2abzx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_6fcndgz2abzx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5usnklh8rt4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6.2.</w:t>
            </w:r>
          </w:hyperlink>
          <w:hyperlink w:anchor="_5usnklh8rt4k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_5usnklh8rt4k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lr295oneko1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</w:t>
            </w:r>
          </w:hyperlink>
          <w:hyperlink w:anchor="_lr295oneko18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_lr295oneko18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Bikashjyoti Das, Summer Intern @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 | IIM L PGP '26 | Ex- L&amp;T | NIT Silchar'22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7mzi7t67l075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7.1.</w:t>
            </w:r>
          </w:hyperlink>
          <w:hyperlink w:anchor="_7mzi7t67l075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_7mzi7t67l075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a22vnl4wc7wd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7.2.</w:t>
            </w:r>
          </w:hyperlink>
          <w:hyperlink w:anchor="_a22vnl4wc7wd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_a22vnl4wc7wd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c6wsjctzxz6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</w:t>
            </w:r>
          </w:hyperlink>
          <w:hyperlink w:anchor="_c6wsjctzxz6h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_c6wsjctzxz6h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Himanshu Kanwar, GM - Growth and Marketing practice at </w:t>
          </w: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20"/>
              <w:szCs w:val="20"/>
              <w:rtl w:val="0"/>
            </w:rPr>
            <w:t xml:space="preserve">Your Company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wprg4i65oqqt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8.1.</w:t>
            </w:r>
          </w:hyperlink>
          <w:hyperlink w:anchor="_wprg4i65oqqt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_wprg4i65oqqt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Top Competitor Matches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dot" w:pos="8630"/>
            </w:tabs>
            <w:spacing w:after="120" w:before="120" w:line="276" w:lineRule="auto"/>
            <w:ind w:left="0" w:right="0" w:firstLine="0"/>
            <w:jc w:val="left"/>
            <w:rPr>
              <w:rFonts w:ascii="Cambria" w:cs="Cambria" w:eastAsia="Cambria" w:hAnsi="Cambria"/>
              <w:b w:val="0"/>
              <w:i w:val="1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hyperlink w:anchor="_y5u2kw2u6wxm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8.2.</w:t>
            </w:r>
          </w:hyperlink>
          <w:hyperlink w:anchor="_y5u2kw2u6wxm">
            <w:r w:rsidDel="00000000" w:rsidR="00000000" w:rsidRPr="00000000">
              <w:rPr>
                <w:rFonts w:ascii="Cambria" w:cs="Cambria" w:eastAsia="Cambria" w:hAnsi="Cambria"/>
                <w:b w:val="0"/>
                <w:i w:val="1"/>
                <w:smallCaps w:val="1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_y5u2kw2u6wxm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0–3 Month Plan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0">
      <w:pPr>
        <w:rPr>
          <w:rFonts w:ascii="Verdana" w:cs="Verdana" w:eastAsia="Verdana" w:hAnsi="Verdana"/>
          <w:b w:val="1"/>
          <w:color w:val="000000"/>
          <w:sz w:val="28"/>
          <w:szCs w:val="28"/>
          <w:highlight w:val="lightGray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1"/>
        <w:spacing w:line="360" w:lineRule="auto"/>
        <w:jc w:val="both"/>
        <w:rPr>
          <w:rFonts w:ascii="Verdana" w:cs="Verdana" w:eastAsia="Verdana" w:hAnsi="Verdana"/>
          <w:color w:val="000000"/>
        </w:rPr>
      </w:pPr>
      <w:bookmarkStart w:colFirst="0" w:colLast="0" w:name="_ppg81c2i9pp4" w:id="1"/>
      <w:bookmarkEnd w:id="1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Executive Summary</w:t>
      </w:r>
    </w:p>
    <w:p w:rsidR="00000000" w:rsidDel="00000000" w:rsidP="00000000" w:rsidRDefault="00000000" w:rsidRPr="00000000" w14:paraId="00000082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fxgamrz1pcbf" w:id="2"/>
      <w:bookmarkEnd w:id="2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Closing Skill Gaps &amp; Future-Ready Workforce</w:t>
      </w:r>
    </w:p>
    <w:p w:rsidR="00000000" w:rsidDel="00000000" w:rsidP="00000000" w:rsidRDefault="00000000" w:rsidRPr="00000000" w14:paraId="00000083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In today’s volatile business environment, building a workforce that can adapt faster than the market is the true competitive advantage. This report provides a 360-degree executive view on how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Your Company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 can close employee skill gaps with respect to competition and internal performance review mechanism and mini OKR’s, enable continuous upskilling, and leverage on demand AI-driven learning courses to deliver measurable output business value.</w:t>
      </w:r>
    </w:p>
    <w:p w:rsidR="00000000" w:rsidDel="00000000" w:rsidP="00000000" w:rsidRDefault="00000000" w:rsidRPr="00000000" w14:paraId="00000084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ju6kjw5x732k" w:id="3"/>
      <w:bookmarkEnd w:id="3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Unlocking Workforce Potential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 gaps are no longer theoretical—they can now be mapped, closed, and tracked in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 time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on-demand, adaptive courses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tailored to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employee’s role, performance review, and future growth path.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Every quarter, employees can be reskilled with the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latest market technologies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ensuring your workforce never falls behind.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used to take years of expensive L&amp;D programs can now be delivered in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weeks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with measurable ROI.</w:t>
      </w:r>
    </w:p>
    <w:p w:rsidR="00000000" w:rsidDel="00000000" w:rsidP="00000000" w:rsidRDefault="00000000" w:rsidRPr="00000000" w14:paraId="00000089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k4hdvqxgso6x" w:id="4"/>
      <w:bookmarkEnd w:id="4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The Value Engine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On-Demand Course Creation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Generates tailored programs for each employee’s gaps.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 Updating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Tracks emerging technologies and refreshes course modules automatically.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Quarterly Reskilling Loop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Links performance reviews to new personalized on demand courses.</w:t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Smart Induction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Custom onboarding pathways for new hires to reduce ramp-up time.</w:t>
      </w:r>
    </w:p>
    <w:p w:rsidR="00000000" w:rsidDel="00000000" w:rsidP="00000000" w:rsidRDefault="00000000" w:rsidRPr="00000000" w14:paraId="0000008E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fqp8booohew0" w:id="5"/>
      <w:bookmarkEnd w:id="5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Value Generation for the Enterprise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Productivity uplift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Stiches personalised learning byte size courses as per the learning time and mind space availability of each employees (10mts / day for 30 days to 2 hours / week for 3 months).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Talent retention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Employees see continuous growth pathways, lowering attrition.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Strategic agility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Organization stays aligned with evolving market and regulatory skill demands.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Sustainable Scalable ROI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On demand multimedia personalised courses can be created and replicated across thousands of employees without additional cost.</w:t>
      </w:r>
    </w:p>
    <w:p w:rsidR="00000000" w:rsidDel="00000000" w:rsidP="00000000" w:rsidRDefault="00000000" w:rsidRPr="00000000" w14:paraId="00000093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6pgnomcqs8kn" w:id="6"/>
      <w:bookmarkEnd w:id="6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Engagement Flow (Visual)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 Gap White Paper on Your Organisation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full organisational skill gap map aligned to business goals.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Benchmarking against competitors to reveal missed opportunities.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Personalised Employee-Specific Skill Gap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employee’s strengths and gaps are identified using performance, projects, and role expectations.</w:t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AI-driven mapping ensures objectivity and precision.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Courses Recommended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Contextualised list of upskilling opportunities tied to specific business outcomes.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Built from both internal expertise and global market benchmarks.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Personalised Courses Created by MyNoted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Automatically curates and creates on-demand learning modules.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Updated dynamically with the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latest technologies and industry shifts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CHRO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Individual Team Heads for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Each plan routed to functional heads (e.g., Marketing, Finance, Tech).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Simple 2-minute per employee review loop.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Agrees or Gives Review Notes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Heads validate or refine the skill map and courses.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Feedback loop keeps training relevant to business needs.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Skill Gap Updated + Competitive Benchmarking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Cross-check gaps with competitor talent trends.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Triggers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course creation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where competitors are ahead.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Learning Path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Structured path per employee showing short-term boosts and long-term mastery.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Balanced between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critical, important, and nice-to-have skills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Quarterly Performance Review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Measured progress against skill-building efforts.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Dynamic refresh of courses every quarter.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Course Creation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Induction to Growth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Seamless integration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new hires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via tailored induction programs.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Continuously adaptive training ensures relevance across career stages.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Workforce of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future-ready organisation where every employee evolves alongside market shifts.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0" w:line="360" w:lineRule="auto"/>
        <w:ind w:left="1440" w:right="0" w:hanging="36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CHRO gains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real-time visibility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into readiness, mobility risk, and growth potential.</w:t>
      </w:r>
    </w:p>
    <w:p w:rsidR="00000000" w:rsidDel="00000000" w:rsidP="00000000" w:rsidRDefault="00000000" w:rsidRPr="00000000" w14:paraId="000000B5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te5qvmvuu4a8" w:id="7"/>
      <w:bookmarkEnd w:id="7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Skill Gaps and Recommended Courses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Our analysis identifies priority skill gaps for </w:t>
      </w: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</w:t>
      </w: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the employees in your organization with internal reviews, competition and maps them to targeted learning paths. And creates courses in real time that can be consumed in 1 week, 1 month or 3 months @ 1 hour, 20 mts or 10 mts every day customized to your employees time availability</w:t>
      </w:r>
    </w:p>
    <w:p w:rsidR="00000000" w:rsidDel="00000000" w:rsidP="00000000" w:rsidRDefault="00000000" w:rsidRPr="00000000" w14:paraId="000000B7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 For example: </w:t>
      </w:r>
      <w:r w:rsidDel="00000000" w:rsidR="00000000" w:rsidRPr="00000000">
        <w:rPr>
          <w:rFonts w:ascii="Verdana" w:cs="Verdana" w:eastAsia="Verdana" w:hAnsi="Verdana"/>
          <w:b w:val="1"/>
          <w:color w:val="000000"/>
          <w:rtl w:val="0"/>
        </w:rPr>
        <w:t xml:space="preserve">Prisha Goel – 0–3 Month Skill Boost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This document outlines the 0–3 month skill upgrade plan for Prisha Goel, focusing on closing immediate skill gaps, recommended courses, proof-of-concept (POC) deliverables, and the direct business impact for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Your Company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.</w:t>
      </w:r>
    </w:p>
    <w:tbl>
      <w:tblPr>
        <w:tblStyle w:val="Table2"/>
        <w:tblW w:w="9747.0" w:type="dxa"/>
        <w:jc w:val="left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A0"/>
      </w:tblPr>
      <w:tblGrid>
        <w:gridCol w:w="1006"/>
        <w:gridCol w:w="1578"/>
        <w:gridCol w:w="1595"/>
        <w:gridCol w:w="1599"/>
        <w:gridCol w:w="2056"/>
        <w:gridCol w:w="1913"/>
        <w:tblGridChange w:id="0">
          <w:tblGrid>
            <w:gridCol w:w="1006"/>
            <w:gridCol w:w="1578"/>
            <w:gridCol w:w="1595"/>
            <w:gridCol w:w="1599"/>
            <w:gridCol w:w="2056"/>
            <w:gridCol w:w="191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Skill Gap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Recommended Skills / Tools</w:t>
            </w:r>
          </w:p>
        </w:tc>
        <w:tc>
          <w:tcPr/>
          <w:p w:rsidR="00000000" w:rsidDel="00000000" w:rsidP="00000000" w:rsidRDefault="00000000" w:rsidRPr="00000000" w14:paraId="000000B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Proposed POC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0–1 Month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No Java experience (backend in competitor stack)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Java (Spring Boot), REST API design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Java Programming Masterclass 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Mini-OKR Dashboard: CRUD OKRs with backend in Spring Boot + frontend in Angular, role-based access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Gives her ability to build features in tech stack used by competitors like Profit.co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0–1 Month</w:t>
            </w:r>
          </w:p>
        </w:tc>
        <w:tc>
          <w:tcPr/>
          <w:p w:rsidR="00000000" w:rsidDel="00000000" w:rsidP="00000000" w:rsidRDefault="00000000" w:rsidRPr="00000000" w14:paraId="000000C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No modern frontend framework (Angular/React)</w:t>
            </w:r>
          </w:p>
        </w:tc>
        <w:tc>
          <w:tcPr/>
          <w:p w:rsidR="00000000" w:rsidDel="00000000" w:rsidP="00000000" w:rsidRDefault="00000000" w:rsidRPr="00000000" w14:paraId="000000C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Angular (preferred for SaaS dashboards)</w:t>
            </w:r>
          </w:p>
        </w:tc>
        <w:tc>
          <w:tcPr/>
          <w:p w:rsidR="00000000" w:rsidDel="00000000" w:rsidP="00000000" w:rsidRDefault="00000000" w:rsidRPr="00000000" w14:paraId="000000C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Angular – The Complete Guide </w:t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Mini-OKR Dashboard frontend UI connected to Spring Boot backend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Removes dependency on frontend engineers, enabling full-stack delivery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0–1 Month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Limited enterprise tool integration experience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Jira API, Microsoft Graph API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REST API Design, Development &amp; Integration 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Basic Integration Tool: Pull tasks from Jira/MS Planner, display in dashboard UI</w:t>
            </w:r>
          </w:p>
        </w:tc>
        <w:tc>
          <w:tcPr/>
          <w:p w:rsidR="00000000" w:rsidDel="00000000" w:rsidP="00000000" w:rsidRDefault="00000000" w:rsidRPr="00000000" w14:paraId="000000D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Expands PeopleCues’ integration capabilities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1–3 Months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No cloud deployment experience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AWS Basics (EC2, Lambda, RDS), Docker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AWS Certified Solutions Architect – Associate 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Cloud-Deployed OKR Dashboard from POC #1 using AWS + Docker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Improves scalability &amp; readiness for enterprise clients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1–3 Months</w:t>
            </w:r>
          </w:p>
        </w:tc>
        <w:tc>
          <w:tcPr/>
          <w:p w:rsidR="00000000" w:rsidDel="00000000" w:rsidP="00000000" w:rsidRDefault="00000000" w:rsidRPr="00000000" w14:paraId="000000D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No Snowflake DB exposure</w:t>
            </w:r>
          </w:p>
        </w:tc>
        <w:tc>
          <w:tcPr/>
          <w:p w:rsidR="00000000" w:rsidDel="00000000" w:rsidP="00000000" w:rsidRDefault="00000000" w:rsidRPr="00000000" w14:paraId="000000D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Snowflake fundamentals, SQL queries</w:t>
            </w:r>
          </w:p>
        </w:tc>
        <w:tc>
          <w:tcPr/>
          <w:p w:rsidR="00000000" w:rsidDel="00000000" w:rsidP="00000000" w:rsidRDefault="00000000" w:rsidRPr="00000000" w14:paraId="000000D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Snowflake SnowPro Core Certification Prep 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Data Storage POC: Store integration data from POC #2 in Snowflake, run queries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18"/>
                <w:szCs w:val="18"/>
                <w:rtl w:val="0"/>
              </w:rPr>
              <w:t xml:space="preserve">Builds analytics-ready foundation for PeopleCues</w:t>
            </w:r>
          </w:p>
        </w:tc>
      </w:tr>
    </w:tbl>
    <w:p w:rsidR="00000000" w:rsidDel="00000000" w:rsidP="00000000" w:rsidRDefault="00000000" w:rsidRPr="00000000" w14:paraId="000000DD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5c2ugdjl7c5" w:id="8"/>
      <w:bookmarkEnd w:id="8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Learning Path &amp; Value Generation</w:t>
      </w:r>
    </w:p>
    <w:p w:rsidR="00000000" w:rsidDel="00000000" w:rsidP="00000000" w:rsidRDefault="00000000" w:rsidRPr="00000000" w14:paraId="000000DE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A structured 0–3 month roadmap enables employees to incrementally acquire mission-critical skills while delivering immediate value. Each course completion is paired with a Proof of Concept (PoC) project on tools such as AWS, Tableau, or financial modelling platforms. These PoCs serve as tangible demonstrations of applied learning and measurable business outcomes.</w:t>
      </w:r>
    </w:p>
    <w:p w:rsidR="00000000" w:rsidDel="00000000" w:rsidP="00000000" w:rsidRDefault="00000000" w:rsidRPr="00000000" w14:paraId="000000DF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ymjn3337jh1a" w:id="9"/>
      <w:bookmarkEnd w:id="9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Continuous Learning &amp; Course Updates</w:t>
      </w:r>
    </w:p>
    <w:p w:rsidR="00000000" w:rsidDel="00000000" w:rsidP="00000000" w:rsidRDefault="00000000" w:rsidRPr="00000000" w14:paraId="000000E0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Unique value proposition includes: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Personalized on-demand course creation for each employee.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Always-updated content on the latest technologies and practices.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Continuous alignment of courses with quarterly performance reviews.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AI-driven structured induction programs to accelerate onboarding.</w:t>
      </w:r>
    </w:p>
    <w:p w:rsidR="00000000" w:rsidDel="00000000" w:rsidP="00000000" w:rsidRDefault="00000000" w:rsidRPr="00000000" w14:paraId="000000E5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This creates a continuous cycle of skill tracking, learning, and business impact—ensuring </w:t>
      </w:r>
      <w:r w:rsidDel="00000000" w:rsidR="00000000" w:rsidRPr="00000000">
        <w:rPr>
          <w:rFonts w:ascii="Verdana" w:cs="Verdana" w:eastAsia="Verdana" w:hAnsi="Verdana"/>
          <w:rtl w:val="0"/>
        </w:rPr>
        <w:t xml:space="preserve">Your Company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’s workforce remains future-ready.</w:t>
      </w:r>
    </w:p>
    <w:p w:rsidR="00000000" w:rsidDel="00000000" w:rsidP="00000000" w:rsidRDefault="00000000" w:rsidRPr="00000000" w14:paraId="000000E6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</w:rPr>
      </w:pPr>
      <w:bookmarkStart w:colFirst="0" w:colLast="0" w:name="_pmzkp23gczza" w:id="10"/>
      <w:bookmarkEnd w:id="10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Strategic Value for CHRO Engagement</w:t>
      </w:r>
    </w:p>
    <w:p w:rsidR="00000000" w:rsidDel="00000000" w:rsidP="00000000" w:rsidRDefault="00000000" w:rsidRPr="00000000" w14:paraId="000000E7">
      <w:pPr>
        <w:spacing w:line="360" w:lineRule="auto"/>
        <w:jc w:val="both"/>
        <w:rPr>
          <w:rFonts w:ascii="Verdana" w:cs="Verdana" w:eastAsia="Verdana" w:hAnsi="Verdana"/>
          <w:color w:val="000000"/>
        </w:rPr>
      </w:pPr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For CHROs, the takeaways are clear: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Close mission-critical skill gaps faster with data-driven on demand learning.</w:t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Boost retention via personalized career development plans.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Link performance management directly to skill-building.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Reduce onboarding cycles with AI-generated induction programs.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36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organizational agility through continuously updated skills.</w:t>
      </w:r>
    </w:p>
    <w:p w:rsidR="00000000" w:rsidDel="00000000" w:rsidP="00000000" w:rsidRDefault="00000000" w:rsidRPr="00000000" w14:paraId="000000ED">
      <w:pPr>
        <w:rPr>
          <w:rFonts w:ascii="Verdana" w:cs="Verdana" w:eastAsia="Verdana" w:hAnsi="Verdana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</w:rPr>
      </w:pPr>
      <w:bookmarkStart w:colFirst="0" w:colLast="0" w:name="_qejn5xj1lf7a" w:id="11"/>
      <w:bookmarkEnd w:id="11"/>
      <w:r w:rsidDel="00000000" w:rsidR="00000000" w:rsidRPr="00000000">
        <w:rPr>
          <w:rFonts w:ascii="Verdana" w:cs="Verdana" w:eastAsia="Verdana" w:hAnsi="Verdana"/>
          <w:color w:val="000000"/>
          <w:rtl w:val="0"/>
        </w:rPr>
        <w:t xml:space="preserve">Closest aggregate skill overlap (by Avg Weighted Overlap %):</w:t>
      </w:r>
    </w:p>
    <w:tbl>
      <w:tblPr>
        <w:tblStyle w:val="Table3"/>
        <w:tblW w:w="8269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76"/>
        <w:gridCol w:w="2805"/>
        <w:gridCol w:w="1721"/>
        <w:gridCol w:w="1760"/>
        <w:gridCol w:w="1207"/>
        <w:tblGridChange w:id="0">
          <w:tblGrid>
            <w:gridCol w:w="776"/>
            <w:gridCol w:w="2805"/>
            <w:gridCol w:w="1721"/>
            <w:gridCol w:w="1760"/>
            <w:gridCol w:w="1207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EF">
            <w:pPr>
              <w:spacing w:after="0"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Rank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0">
            <w:pPr>
              <w:spacing w:after="0"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Organization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1">
            <w:pPr>
              <w:spacing w:after="0"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Avg Overlap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2">
            <w:pPr>
              <w:spacing w:after="0"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Max Overlap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3">
            <w:pPr>
              <w:spacing w:after="0"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Matches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4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5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SAP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6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7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33%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8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19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9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A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Deloitte Consulting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B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10%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C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46%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D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FE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FF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McKinsey &amp; 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0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9%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1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31%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2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23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3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4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Oracle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5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8%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6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21%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7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108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9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PwC Advisory Services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A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7%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35%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spacing w:after="0"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49</w:t>
            </w:r>
          </w:p>
        </w:tc>
      </w:tr>
    </w:tbl>
    <w:p w:rsidR="00000000" w:rsidDel="00000000" w:rsidP="00000000" w:rsidRDefault="00000000" w:rsidRPr="00000000" w14:paraId="0000010D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hbmf6nbrinyn" w:id="12"/>
      <w:bookmarkEnd w:id="12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Most frequent capability gaps vs. Your Company: </w:t>
      </w:r>
    </w:p>
    <w:p w:rsidR="00000000" w:rsidDel="00000000" w:rsidP="00000000" w:rsidRDefault="00000000" w:rsidRPr="00000000" w14:paraId="0000010E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Leadership, Product, Design, AI, Tech</w:t>
      </w:r>
    </w:p>
    <w:p w:rsidR="00000000" w:rsidDel="00000000" w:rsidP="00000000" w:rsidRDefault="00000000" w:rsidRPr="00000000" w14:paraId="0000010F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4q1heonjtz7v" w:id="13"/>
      <w:bookmarkEnd w:id="13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Attrition signals: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Likely already switched (headline pattern): 4 employees.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60" w:lineRule="auto"/>
        <w:ind w:left="720" w:right="0" w:hanging="360"/>
        <w:jc w:val="both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Highest predicted pull among at-risk talent: Deloitte Consulting and PwC Advisory Services.</w:t>
      </w:r>
    </w:p>
    <w:p w:rsidR="00000000" w:rsidDel="00000000" w:rsidP="00000000" w:rsidRDefault="00000000" w:rsidRPr="00000000" w14:paraId="00000112">
      <w:pPr>
        <w:rPr>
          <w:rFonts w:ascii="Verdana" w:cs="Verdana" w:eastAsia="Verdana" w:hAnsi="Verdana"/>
          <w:b w:val="1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kzhu2ajspuop" w:id="14"/>
      <w:bookmarkEnd w:id="14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Results — Company Skill Proximity</w:t>
      </w:r>
    </w:p>
    <w:p w:rsidR="00000000" w:rsidDel="00000000" w:rsidP="00000000" w:rsidRDefault="00000000" w:rsidRPr="00000000" w14:paraId="00000114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10 companies by average weighted overlap (%):</w:t>
      </w:r>
    </w:p>
    <w:p w:rsidR="00000000" w:rsidDel="00000000" w:rsidP="00000000" w:rsidRDefault="00000000" w:rsidRPr="00000000" w14:paraId="00000115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</w:rPr>
        <w:drawing>
          <wp:inline distB="0" distT="0" distL="0" distR="0">
            <wp:extent cx="4750918" cy="2375459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0918" cy="2375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Figure 1: Top-10 companies by skill proximity to </w:t>
      </w:r>
      <w:r w:rsidDel="00000000" w:rsidR="00000000" w:rsidRPr="00000000">
        <w:rPr>
          <w:rFonts w:ascii="Verdana" w:cs="Verdana" w:eastAsia="Verdana" w:hAnsi="Verdana"/>
          <w:sz w:val="24"/>
          <w:szCs w:val="24"/>
          <w:rtl w:val="0"/>
        </w:rPr>
        <w:t xml:space="preserve">Your Company</w:t>
      </w: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 (Avg Weighted Overlap %).</w:t>
      </w:r>
    </w:p>
    <w:p w:rsidR="00000000" w:rsidDel="00000000" w:rsidP="00000000" w:rsidRDefault="00000000" w:rsidRPr="00000000" w14:paraId="00000117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Full ranking (rounded to %):</w:t>
      </w:r>
    </w:p>
    <w:tbl>
      <w:tblPr>
        <w:tblStyle w:val="Table4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15"/>
        <w:gridCol w:w="1464"/>
        <w:gridCol w:w="1189"/>
        <w:gridCol w:w="1355"/>
        <w:gridCol w:w="1115"/>
        <w:gridCol w:w="1346"/>
        <w:gridCol w:w="1346"/>
        <w:tblGridChange w:id="0">
          <w:tblGrid>
            <w:gridCol w:w="815"/>
            <w:gridCol w:w="1464"/>
            <w:gridCol w:w="1189"/>
            <w:gridCol w:w="1355"/>
            <w:gridCol w:w="1115"/>
            <w:gridCol w:w="1346"/>
            <w:gridCol w:w="134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8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Rank</w:t>
            </w:r>
          </w:p>
        </w:tc>
        <w:tc>
          <w:tcPr/>
          <w:p w:rsidR="00000000" w:rsidDel="00000000" w:rsidP="00000000" w:rsidRDefault="00000000" w:rsidRPr="00000000" w14:paraId="00000119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Company</w:t>
            </w:r>
          </w:p>
        </w:tc>
        <w:tc>
          <w:tcPr/>
          <w:p w:rsidR="00000000" w:rsidDel="00000000" w:rsidP="00000000" w:rsidRDefault="00000000" w:rsidRPr="00000000" w14:paraId="0000011A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# Matches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Avg Similarity (%)</w:t>
            </w:r>
          </w:p>
        </w:tc>
        <w:tc>
          <w:tcPr/>
          <w:p w:rsidR="00000000" w:rsidDel="00000000" w:rsidP="00000000" w:rsidRDefault="00000000" w:rsidRPr="00000000" w14:paraId="0000011C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Avg Jaccard (%)</w:t>
            </w:r>
          </w:p>
        </w:tc>
        <w:tc>
          <w:tcPr/>
          <w:p w:rsidR="00000000" w:rsidDel="00000000" w:rsidP="00000000" w:rsidRDefault="00000000" w:rsidRPr="00000000" w14:paraId="0000011D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Avg Weighted Overlap (%)</w:t>
            </w:r>
          </w:p>
        </w:tc>
        <w:tc>
          <w:tcPr/>
          <w:p w:rsidR="00000000" w:rsidDel="00000000" w:rsidP="00000000" w:rsidRDefault="00000000" w:rsidRPr="00000000" w14:paraId="0000011E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1"/>
                <w:szCs w:val="21"/>
                <w:rtl w:val="0"/>
              </w:rPr>
              <w:t xml:space="preserve">Max Weighted Overlap (%)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F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sap</w:t>
            </w:r>
          </w:p>
        </w:tc>
        <w:tc>
          <w:tcPr/>
          <w:p w:rsidR="00000000" w:rsidDel="00000000" w:rsidP="00000000" w:rsidRDefault="00000000" w:rsidRPr="00000000" w14:paraId="0000012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6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2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deloitte consulting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2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2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2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D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mckinsey &amp; company</w:t>
            </w:r>
          </w:p>
        </w:tc>
        <w:tc>
          <w:tcPr/>
          <w:p w:rsidR="00000000" w:rsidDel="00000000" w:rsidP="00000000" w:rsidRDefault="00000000" w:rsidRPr="00000000" w14:paraId="0000012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23</w:t>
            </w:r>
          </w:p>
        </w:tc>
        <w:tc>
          <w:tcPr/>
          <w:p w:rsidR="00000000" w:rsidDel="00000000" w:rsidP="00000000" w:rsidRDefault="00000000" w:rsidRPr="00000000" w14:paraId="0000013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13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3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3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4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13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28</w:t>
            </w:r>
          </w:p>
        </w:tc>
        <w:tc>
          <w:tcPr/>
          <w:p w:rsidR="00000000" w:rsidDel="00000000" w:rsidP="00000000" w:rsidRDefault="00000000" w:rsidRPr="00000000" w14:paraId="0000013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13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3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B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pwc advisory services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4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kpmg advisory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49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14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4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4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9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4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boston consulting group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26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35</w:t>
            </w:r>
          </w:p>
        </w:tc>
        <w:tc>
          <w:tcPr/>
          <w:p w:rsidR="00000000" w:rsidDel="00000000" w:rsidP="00000000" w:rsidRDefault="00000000" w:rsidRPr="00000000" w14:paraId="0000014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4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4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5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bain &amp; company</w:t>
            </w:r>
          </w:p>
        </w:tc>
        <w:tc>
          <w:tcPr/>
          <w:p w:rsidR="00000000" w:rsidDel="00000000" w:rsidP="00000000" w:rsidRDefault="00000000" w:rsidRPr="00000000" w14:paraId="0000015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24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37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5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7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5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capgemini</w:t>
            </w:r>
          </w:p>
        </w:tc>
        <w:tc>
          <w:tcPr/>
          <w:p w:rsidR="00000000" w:rsidDel="00000000" w:rsidP="00000000" w:rsidRDefault="00000000" w:rsidRPr="00000000" w14:paraId="0000015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5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47</w:t>
            </w:r>
          </w:p>
        </w:tc>
        <w:tc>
          <w:tcPr/>
          <w:p w:rsidR="00000000" w:rsidDel="00000000" w:rsidP="00000000" w:rsidRDefault="00000000" w:rsidRPr="00000000" w14:paraId="0000015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13</w:t>
            </w:r>
          </w:p>
        </w:tc>
      </w:tr>
    </w:tbl>
    <w:p w:rsidR="00000000" w:rsidDel="00000000" w:rsidP="00000000" w:rsidRDefault="00000000" w:rsidRPr="00000000" w14:paraId="0000015E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krqag565t7mh" w:id="15"/>
      <w:bookmarkEnd w:id="15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Results — Talent Mobility</w:t>
      </w:r>
    </w:p>
    <w:p w:rsidR="00000000" w:rsidDel="00000000" w:rsidP="00000000" w:rsidRDefault="00000000" w:rsidRPr="00000000" w14:paraId="00000160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color w:val="000000"/>
          <w:sz w:val="24"/>
          <w:szCs w:val="24"/>
          <w:rtl w:val="0"/>
        </w:rPr>
        <w:t xml:space="preserve">Likely already switched (headline pattern):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4 employees flagged. See the CSV appendix for names.</w:t>
      </w:r>
    </w:p>
    <w:p w:rsidR="00000000" w:rsidDel="00000000" w:rsidP="00000000" w:rsidRDefault="00000000" w:rsidRPr="00000000" w14:paraId="00000162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1e1gg32tqm4w" w:id="16"/>
      <w:bookmarkEnd w:id="16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Predicted at-risk employees (top 10): </w:t>
      </w:r>
    </w:p>
    <w:tbl>
      <w:tblPr>
        <w:tblStyle w:val="Table5"/>
        <w:tblW w:w="8629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32"/>
        <w:gridCol w:w="1702"/>
        <w:gridCol w:w="1692"/>
        <w:gridCol w:w="1693"/>
        <w:gridCol w:w="1711"/>
        <w:tblGridChange w:id="0">
          <w:tblGrid>
            <w:gridCol w:w="1832"/>
            <w:gridCol w:w="1702"/>
            <w:gridCol w:w="1692"/>
            <w:gridCol w:w="1693"/>
            <w:gridCol w:w="17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Employee</w:t>
            </w:r>
          </w:p>
        </w:tc>
        <w:tc>
          <w:tcPr/>
          <w:p w:rsidR="00000000" w:rsidDel="00000000" w:rsidP="00000000" w:rsidRDefault="00000000" w:rsidRPr="00000000" w14:paraId="0000016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Predicted Target Company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Predicted Risk (%)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Max Weighted Overlap (%)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# Unique Companies Matched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Tanmay A.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kpmg advisory</w:t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55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36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Chandan Kar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deloitte consulting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53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Raghavan Vallinayagam</w:t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oracle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Blesson P Jacob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pwc advisory services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44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Himanshu Kanwar</w:t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deloitte consulting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43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Dipika Singh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pwc advisory services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42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17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Shantanu Jaiswal</w:t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sap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41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33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Pawan Raghuveer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mckinsey &amp; company</w:t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40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31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Pranjali 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pwc advisory services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39</w:t>
            </w:r>
          </w:p>
        </w:tc>
        <w:tc>
          <w:tcPr/>
          <w:p w:rsidR="00000000" w:rsidDel="00000000" w:rsidP="00000000" w:rsidRDefault="00000000" w:rsidRPr="00000000" w14:paraId="0000019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19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Ashwath S.</w:t>
            </w:r>
          </w:p>
        </w:tc>
        <w:tc>
          <w:tcPr/>
          <w:p w:rsidR="00000000" w:rsidDel="00000000" w:rsidP="00000000" w:rsidRDefault="00000000" w:rsidRPr="00000000" w14:paraId="0000019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deloitte consulting</w:t>
            </w:r>
          </w:p>
        </w:tc>
        <w:tc>
          <w:tcPr/>
          <w:p w:rsidR="00000000" w:rsidDel="00000000" w:rsidP="00000000" w:rsidRDefault="00000000" w:rsidRPr="00000000" w14:paraId="0000019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38</w:t>
            </w:r>
          </w:p>
        </w:tc>
        <w:tc>
          <w:tcPr/>
          <w:p w:rsidR="00000000" w:rsidDel="00000000" w:rsidP="00000000" w:rsidRDefault="00000000" w:rsidRPr="00000000" w14:paraId="0000019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46</w:t>
            </w:r>
          </w:p>
        </w:tc>
        <w:tc>
          <w:tcPr/>
          <w:p w:rsidR="00000000" w:rsidDel="00000000" w:rsidP="00000000" w:rsidRDefault="00000000" w:rsidRPr="00000000" w14:paraId="0000019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19A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xy1gxjfs8g9" w:id="17"/>
      <w:bookmarkEnd w:id="17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Recommendations</w:t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1) Double down on Leadership development (largest recurring gap). Make OKR leadership cadences standard and assess squad leads quarterly.</w:t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2) Product &amp; Design uplift: add discovery sprints and portfolio reviews; rotate PM/UX pairs through high-overlap accounts.</w:t>
      </w:r>
    </w:p>
    <w:p w:rsidR="00000000" w:rsidDel="00000000" w:rsidP="00000000" w:rsidRDefault="00000000" w:rsidRPr="00000000" w14:paraId="0000019D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3) AI/ML &amp; Tech/Cloud exposure: run 4–6 week micro-POCs on GenAI prompts and cloud reference architectures tied to client proposals.</w:t>
      </w:r>
    </w:p>
    <w:p w:rsidR="00000000" w:rsidDel="00000000" w:rsidP="00000000" w:rsidRDefault="00000000" w:rsidRPr="00000000" w14:paraId="0000019E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4) Targeted retention: for top-risk individuals, schedule skip-levels and offer stretch roles aligned to predicted target companies’ strengths.</w:t>
      </w:r>
    </w:p>
    <w:p w:rsidR="00000000" w:rsidDel="00000000" w:rsidP="00000000" w:rsidRDefault="00000000" w:rsidRPr="00000000" w14:paraId="0000019F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5) Hiring focus: backfill gaps flagged by competitor roles (Lead PMs, Design Leads, Data/Analytics).</w:t>
      </w:r>
    </w:p>
    <w:p w:rsidR="00000000" w:rsidDel="00000000" w:rsidP="00000000" w:rsidRDefault="00000000" w:rsidRPr="00000000" w14:paraId="000001A0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l0vz5noikl76" w:id="18"/>
      <w:bookmarkEnd w:id="18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 : Ankit Gupta — Growth Leader @ Your Company, ex-Flipkart | BITS Pilani &amp; IIM Alum</w:t>
      </w:r>
    </w:p>
    <w:p w:rsidR="00000000" w:rsidDel="00000000" w:rsidP="00000000" w:rsidRDefault="00000000" w:rsidRPr="00000000" w14:paraId="000001A4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1A5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k44vbiiwim2f" w:id="19"/>
      <w:bookmarkEnd w:id="19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1A6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Deloitte Consulting: Erin O'Rourke — Growth Strategist @ Deloitte Consulting (Similarity 42.11)</w:t>
      </w:r>
    </w:p>
    <w:p w:rsidR="00000000" w:rsidDel="00000000" w:rsidP="00000000" w:rsidRDefault="00000000" w:rsidRPr="00000000" w14:paraId="000001A7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Bain &amp; Company: Russ Hagey — Senior Partner &amp; Chief Leadership Officer at Bain &amp; Company (Similarity 40.68)</w:t>
      </w:r>
    </w:p>
    <w:p w:rsidR="00000000" w:rsidDel="00000000" w:rsidP="00000000" w:rsidRDefault="00000000" w:rsidRPr="00000000" w14:paraId="000001A8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Sap: Cini Mathew — SVP, Global Head, SAP SCM Core Manufacturing &amp; Asset Mgmt Eng || Ex-Chairperson for Respect at Work internal compliance committee at SAP (Similarity 36.36)</w:t>
      </w:r>
    </w:p>
    <w:p w:rsidR="00000000" w:rsidDel="00000000" w:rsidP="00000000" w:rsidRDefault="00000000" w:rsidRPr="00000000" w14:paraId="000001A9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z6o4j8v1n69b" w:id="20"/>
      <w:bookmarkEnd w:id="20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6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193"/>
        <w:gridCol w:w="1323"/>
        <w:gridCol w:w="1576"/>
        <w:gridCol w:w="1823"/>
        <w:gridCol w:w="1548"/>
        <w:gridCol w:w="1167"/>
        <w:tblGridChange w:id="0">
          <w:tblGrid>
            <w:gridCol w:w="1193"/>
            <w:gridCol w:w="1323"/>
            <w:gridCol w:w="1576"/>
            <w:gridCol w:w="1823"/>
            <w:gridCol w:w="1548"/>
            <w:gridCol w:w="116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A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1AB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1AC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1AD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1AE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line="360" w:lineRule="auto"/>
              <w:jc w:val="both"/>
              <w:rPr>
                <w:rFonts w:ascii="Verdana" w:cs="Verdana" w:eastAsia="Verdana" w:hAnsi="Verdana"/>
                <w:b w:val="1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000000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1B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1B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1B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1B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1B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1C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rtl w:val="0"/>
              </w:rPr>
              <w:t xml:space="preserve">Sharpens market entry and growth moves; improves proposal win-rate and ROI of initiatives.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1C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overlap; AI/ML gap vs competitor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1C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1C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1C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overlap; AI/ML gap vs competitor</w:t>
            </w:r>
          </w:p>
        </w:tc>
        <w:tc>
          <w:tcPr/>
          <w:p w:rsidR="00000000" w:rsidDel="00000000" w:rsidP="00000000" w:rsidRDefault="00000000" w:rsidRPr="00000000" w14:paraId="000001C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C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overlap; AI/ML gap vs competitor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Management, Project Management</w:t>
            </w:r>
          </w:p>
        </w:tc>
        <w:tc>
          <w:tcPr/>
          <w:p w:rsidR="00000000" w:rsidDel="00000000" w:rsidP="00000000" w:rsidRDefault="00000000" w:rsidRPr="00000000" w14:paraId="000001D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1D4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jsu8p1w0a8y2" w:id="21"/>
      <w:bookmarkEnd w:id="21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 : Arun Vigneswaran — Head of People practice @ Your Company | Ex-Flipkart | TISS</w:t>
      </w:r>
    </w:p>
    <w:p w:rsidR="00000000" w:rsidDel="00000000" w:rsidP="00000000" w:rsidRDefault="00000000" w:rsidRPr="00000000" w14:paraId="000001D6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1D7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xc101ao91onm" w:id="22"/>
      <w:bookmarkEnd w:id="22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1D8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Mckinsey &amp; Company: Wendy Stratman Miller — Partner, North American Chief People Officer, McKinsey &amp; Company (Similarity 45.07)</w:t>
      </w:r>
    </w:p>
    <w:p w:rsidR="00000000" w:rsidDel="00000000" w:rsidP="00000000" w:rsidRDefault="00000000" w:rsidRPr="00000000" w14:paraId="000001D9">
      <w:pPr>
        <w:spacing w:line="360" w:lineRule="auto"/>
        <w:jc w:val="both"/>
        <w:rPr>
          <w:rFonts w:ascii="Verdana" w:cs="Verdana" w:eastAsia="Verdana" w:hAnsi="Verdana"/>
          <w:b w:val="1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Kpmg Advisory: Sandy Torchia — Vice Chair, Talent and Culture at KPMG * Passionate People Advocate * Champion for Workplace Culture and Experience * Future-Forward Talent Strategist (Similarity 32.17)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gywy8f8n3pkc" w:id="23"/>
      <w:bookmarkEnd w:id="23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7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6"/>
        <w:gridCol w:w="1310"/>
        <w:gridCol w:w="1567"/>
        <w:gridCol w:w="1801"/>
        <w:gridCol w:w="1566"/>
        <w:gridCol w:w="1180"/>
        <w:tblGridChange w:id="0">
          <w:tblGrid>
            <w:gridCol w:w="1206"/>
            <w:gridCol w:w="1310"/>
            <w:gridCol w:w="1567"/>
            <w:gridCol w:w="1801"/>
            <w:gridCol w:w="1566"/>
            <w:gridCol w:w="1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1D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1D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1D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1E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1E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HR/People overlap</w:t>
            </w:r>
          </w:p>
        </w:tc>
        <w:tc>
          <w:tcPr/>
          <w:p w:rsidR="00000000" w:rsidDel="00000000" w:rsidP="00000000" w:rsidRDefault="00000000" w:rsidRPr="00000000" w14:paraId="000001E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1E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HR/People overlap</w:t>
            </w:r>
          </w:p>
        </w:tc>
        <w:tc>
          <w:tcPr/>
          <w:p w:rsidR="00000000" w:rsidDel="00000000" w:rsidP="00000000" w:rsidRDefault="00000000" w:rsidRPr="00000000" w14:paraId="000001E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1E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HR/People overlap</w:t>
            </w:r>
          </w:p>
        </w:tc>
        <w:tc>
          <w:tcPr/>
          <w:p w:rsidR="00000000" w:rsidDel="00000000" w:rsidP="00000000" w:rsidRDefault="00000000" w:rsidRPr="00000000" w14:paraId="000001E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1F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AI/ML gap vs competitor; HR/People overlap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F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1F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1F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AI/ML gap vs competitor; HR/People overlap</w:t>
            </w:r>
          </w:p>
        </w:tc>
        <w:tc>
          <w:tcPr/>
          <w:p w:rsidR="00000000" w:rsidDel="00000000" w:rsidP="00000000" w:rsidRDefault="00000000" w:rsidRPr="00000000" w14:paraId="000001F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1F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AI/ML gap vs competitor; HR/People overlap</w:t>
            </w:r>
          </w:p>
        </w:tc>
        <w:tc>
          <w:tcPr/>
          <w:p w:rsidR="00000000" w:rsidDel="00000000" w:rsidP="00000000" w:rsidRDefault="00000000" w:rsidRPr="00000000" w14:paraId="0000020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205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b w:val="0"/>
          <w:color w:val="000000"/>
          <w:sz w:val="24"/>
          <w:szCs w:val="24"/>
        </w:rPr>
      </w:pPr>
      <w:bookmarkStart w:colFirst="0" w:colLast="0" w:name="_ab7829ta7lfq" w:id="24"/>
      <w:bookmarkEnd w:id="24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Analysis: Ashwath S. — Growth Catalyst @ Your 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208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ot5r367o07lg" w:id="25"/>
      <w:bookmarkEnd w:id="25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209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Deloitte Consulting: Erin O'Rourke — Growth Strategist @ Deloitte Consulting (Similarity 46.43)</w:t>
      </w:r>
    </w:p>
    <w:p w:rsidR="00000000" w:rsidDel="00000000" w:rsidP="00000000" w:rsidRDefault="00000000" w:rsidRPr="00000000" w14:paraId="0000020A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d1u888oabh06" w:id="26"/>
      <w:bookmarkEnd w:id="26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8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6"/>
        <w:gridCol w:w="1310"/>
        <w:gridCol w:w="1567"/>
        <w:gridCol w:w="1801"/>
        <w:gridCol w:w="1566"/>
        <w:gridCol w:w="1180"/>
        <w:tblGridChange w:id="0">
          <w:tblGrid>
            <w:gridCol w:w="1206"/>
            <w:gridCol w:w="1310"/>
            <w:gridCol w:w="1567"/>
            <w:gridCol w:w="1801"/>
            <w:gridCol w:w="1566"/>
            <w:gridCol w:w="1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21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21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1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21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1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2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2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223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qs8emltochzu" w:id="27"/>
      <w:bookmarkEnd w:id="27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Analysis: Bhavesh Parvatkar, SDE 2 at Your Company</w:t>
      </w:r>
    </w:p>
    <w:p w:rsidR="00000000" w:rsidDel="00000000" w:rsidP="00000000" w:rsidRDefault="00000000" w:rsidRPr="00000000" w14:paraId="00000225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226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6fcndgz2abzx" w:id="28"/>
      <w:bookmarkEnd w:id="28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227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Oracle: Abhinav Mishra — SDE at Oracle Cloud Infrastructure | Imperial College London (Similarity 75.0)</w:t>
      </w:r>
    </w:p>
    <w:p w:rsidR="00000000" w:rsidDel="00000000" w:rsidP="00000000" w:rsidRDefault="00000000" w:rsidRPr="00000000" w14:paraId="00000228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5usnklh8rt4k" w:id="29"/>
      <w:bookmarkEnd w:id="29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9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6"/>
        <w:gridCol w:w="1310"/>
        <w:gridCol w:w="1567"/>
        <w:gridCol w:w="1801"/>
        <w:gridCol w:w="1566"/>
        <w:gridCol w:w="1180"/>
        <w:tblGridChange w:id="0">
          <w:tblGrid>
            <w:gridCol w:w="1206"/>
            <w:gridCol w:w="1310"/>
            <w:gridCol w:w="1567"/>
            <w:gridCol w:w="1801"/>
            <w:gridCol w:w="1566"/>
            <w:gridCol w:w="1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22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22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22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22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22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23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3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Azure, Cloud, Data, Python</w:t>
            </w:r>
          </w:p>
        </w:tc>
        <w:tc>
          <w:tcPr/>
          <w:p w:rsidR="00000000" w:rsidDel="00000000" w:rsidP="00000000" w:rsidRDefault="00000000" w:rsidRPr="00000000" w14:paraId="0000023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23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23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3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3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Azure, Cloud, Data, Python</w:t>
            </w:r>
          </w:p>
        </w:tc>
        <w:tc>
          <w:tcPr/>
          <w:p w:rsidR="00000000" w:rsidDel="00000000" w:rsidP="00000000" w:rsidRDefault="00000000" w:rsidRPr="00000000" w14:paraId="0000023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3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3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23B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lr295oneko18" w:id="30"/>
      <w:bookmarkEnd w:id="30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Analysis: Bikashjyoti Das, Summer Intern @Your Company | IIM L PGP '26 | Ex- L&amp;T | NIT Silchar'22</w:t>
      </w:r>
    </w:p>
    <w:p w:rsidR="00000000" w:rsidDel="00000000" w:rsidP="00000000" w:rsidRDefault="00000000" w:rsidRPr="00000000" w14:paraId="0000023D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23E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7mzi7t67l075" w:id="31"/>
      <w:bookmarkEnd w:id="31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23F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Kpmg Advisory: Christopher Eagar — KPMG Advisory Intern, Technology (Similarity 40.0)</w:t>
      </w:r>
    </w:p>
    <w:p w:rsidR="00000000" w:rsidDel="00000000" w:rsidP="00000000" w:rsidRDefault="00000000" w:rsidRPr="00000000" w14:paraId="00000240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a22vnl4wc7wd" w:id="32"/>
      <w:bookmarkEnd w:id="32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10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6"/>
        <w:gridCol w:w="1310"/>
        <w:gridCol w:w="1567"/>
        <w:gridCol w:w="1801"/>
        <w:gridCol w:w="1566"/>
        <w:gridCol w:w="1180"/>
        <w:tblGridChange w:id="0">
          <w:tblGrid>
            <w:gridCol w:w="1206"/>
            <w:gridCol w:w="1310"/>
            <w:gridCol w:w="1567"/>
            <w:gridCol w:w="1801"/>
            <w:gridCol w:w="1566"/>
            <w:gridCol w:w="1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24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AI, Marketing</w:t>
            </w:r>
          </w:p>
        </w:tc>
        <w:tc>
          <w:tcPr/>
          <w:p w:rsidR="00000000" w:rsidDel="00000000" w:rsidP="00000000" w:rsidRDefault="00000000" w:rsidRPr="00000000" w14:paraId="0000024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AI, Marketing</w:t>
            </w:r>
          </w:p>
        </w:tc>
        <w:tc>
          <w:tcPr/>
          <w:p w:rsidR="00000000" w:rsidDel="00000000" w:rsidP="00000000" w:rsidRDefault="00000000" w:rsidRPr="00000000" w14:paraId="0000025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25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25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5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5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5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AI, Marketing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5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259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1"/>
        <w:numPr>
          <w:ilvl w:val="0"/>
          <w:numId w:val="9"/>
        </w:numPr>
        <w:spacing w:line="360" w:lineRule="auto"/>
        <w:ind w:left="360" w:hanging="360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c6wsjctzxz6h" w:id="33"/>
      <w:bookmarkEnd w:id="33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Skill Gap Analysis: Himanshu Kanwar, GM - Growth and Marketing practice at Your Company</w:t>
      </w:r>
    </w:p>
    <w:p w:rsidR="00000000" w:rsidDel="00000000" w:rsidP="00000000" w:rsidRDefault="00000000" w:rsidRPr="00000000" w14:paraId="0000025B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Objective: Close competitive gaps identified matches by targeted upskilling and hands-on POCs.</w:t>
      </w:r>
    </w:p>
    <w:p w:rsidR="00000000" w:rsidDel="00000000" w:rsidP="00000000" w:rsidRDefault="00000000" w:rsidRPr="00000000" w14:paraId="0000025C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wprg4i65oqqt" w:id="34"/>
      <w:bookmarkEnd w:id="34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Top Competitor Matches</w:t>
      </w:r>
    </w:p>
    <w:p w:rsidR="00000000" w:rsidDel="00000000" w:rsidP="00000000" w:rsidRDefault="00000000" w:rsidRPr="00000000" w14:paraId="0000025D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Deloitte Consulting: Scott Mager — US Chief Marketing Officer at Deloitte (Similarity 55.17)</w:t>
      </w:r>
    </w:p>
    <w:p w:rsidR="00000000" w:rsidDel="00000000" w:rsidP="00000000" w:rsidRDefault="00000000" w:rsidRPr="00000000" w14:paraId="0000025E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Mckinsey &amp; Company: Bob Sternfels — Global Managing Partner at McKinsey &amp; Company (Similarity 50.91)</w:t>
      </w:r>
    </w:p>
    <w:p w:rsidR="00000000" w:rsidDel="00000000" w:rsidP="00000000" w:rsidRDefault="00000000" w:rsidRPr="00000000" w14:paraId="0000025F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- Mckinsey &amp; Company: Kevin Laczkowski — Senior Partner and Managing Partner, Midwest, McKinsey &amp; Company (Similarity 50.67)</w:t>
      </w:r>
    </w:p>
    <w:p w:rsidR="00000000" w:rsidDel="00000000" w:rsidP="00000000" w:rsidRDefault="00000000" w:rsidRPr="00000000" w14:paraId="00000260">
      <w:pPr>
        <w:pStyle w:val="Heading1"/>
        <w:numPr>
          <w:ilvl w:val="1"/>
          <w:numId w:val="9"/>
        </w:numPr>
        <w:spacing w:line="360" w:lineRule="auto"/>
        <w:ind w:left="792" w:hanging="432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bookmarkStart w:colFirst="0" w:colLast="0" w:name="_y5u2kw2u6wxm" w:id="35"/>
      <w:bookmarkEnd w:id="35"/>
      <w:r w:rsidDel="00000000" w:rsidR="00000000" w:rsidRPr="00000000">
        <w:rPr>
          <w:rFonts w:ascii="Verdana" w:cs="Verdana" w:eastAsia="Verdana" w:hAnsi="Verdana"/>
          <w:color w:val="000000"/>
          <w:sz w:val="24"/>
          <w:szCs w:val="24"/>
          <w:rtl w:val="0"/>
        </w:rPr>
        <w:t xml:space="preserve">0–3 Month Plan</w:t>
      </w:r>
    </w:p>
    <w:tbl>
      <w:tblPr>
        <w:tblStyle w:val="Table11"/>
        <w:tblW w:w="8630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06"/>
        <w:gridCol w:w="1310"/>
        <w:gridCol w:w="1567"/>
        <w:gridCol w:w="1801"/>
        <w:gridCol w:w="1566"/>
        <w:gridCol w:w="1180"/>
        <w:tblGridChange w:id="0">
          <w:tblGrid>
            <w:gridCol w:w="1206"/>
            <w:gridCol w:w="1310"/>
            <w:gridCol w:w="1567"/>
            <w:gridCol w:w="1801"/>
            <w:gridCol w:w="1566"/>
            <w:gridCol w:w="118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Timeline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Competitive Gap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Recommended Skills/Tools</w:t>
            </w:r>
          </w:p>
        </w:tc>
        <w:tc>
          <w:tcPr/>
          <w:p w:rsidR="00000000" w:rsidDel="00000000" w:rsidP="00000000" w:rsidRDefault="00000000" w:rsidRPr="00000000" w14:paraId="0000026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Course Recommendation</w:t>
            </w:r>
          </w:p>
        </w:tc>
        <w:tc>
          <w:tcPr/>
          <w:p w:rsidR="00000000" w:rsidDel="00000000" w:rsidP="00000000" w:rsidRDefault="00000000" w:rsidRPr="00000000" w14:paraId="0000026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Proposed POC (Applied Output)</w:t>
            </w:r>
          </w:p>
        </w:tc>
        <w:tc>
          <w:tcPr/>
          <w:p w:rsidR="00000000" w:rsidDel="00000000" w:rsidP="00000000" w:rsidRDefault="00000000" w:rsidRPr="00000000" w14:paraId="0000026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Business Impact for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26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Marketing overlap</w:t>
            </w:r>
          </w:p>
        </w:tc>
        <w:tc>
          <w:tcPr/>
          <w:p w:rsidR="00000000" w:rsidDel="00000000" w:rsidP="00000000" w:rsidRDefault="00000000" w:rsidRPr="00000000" w14:paraId="0000026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26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6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Marketing overlap</w:t>
            </w:r>
          </w:p>
        </w:tc>
        <w:tc>
          <w:tcPr/>
          <w:p w:rsidR="00000000" w:rsidDel="00000000" w:rsidP="00000000" w:rsidRDefault="00000000" w:rsidRPr="00000000" w14:paraId="0000026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7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27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27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7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Marketing overlap</w:t>
            </w:r>
          </w:p>
        </w:tc>
        <w:tc>
          <w:tcPr/>
          <w:p w:rsidR="00000000" w:rsidDel="00000000" w:rsidP="00000000" w:rsidRDefault="00000000" w:rsidRPr="00000000" w14:paraId="0000027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7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7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7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Immediate (Weeks 0–2)</w:t>
            </w:r>
          </w:p>
        </w:tc>
        <w:tc>
          <w:tcPr/>
          <w:p w:rsidR="00000000" w:rsidDel="00000000" w:rsidP="00000000" w:rsidRDefault="00000000" w:rsidRPr="00000000" w14:paraId="0000027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7B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7C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Leadership and Management Certification</w:t>
            </w:r>
          </w:p>
        </w:tc>
        <w:tc>
          <w:tcPr/>
          <w:p w:rsidR="00000000" w:rsidDel="00000000" w:rsidP="00000000" w:rsidRDefault="00000000" w:rsidRPr="00000000" w14:paraId="0000027D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Run an OKR rollout in Notion/ClickUp for a live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squad; weekly check-ins + retro.</w:t>
            </w:r>
          </w:p>
        </w:tc>
        <w:tc>
          <w:tcPr/>
          <w:p w:rsidR="00000000" w:rsidDel="00000000" w:rsidP="00000000" w:rsidRDefault="00000000" w:rsidRPr="00000000" w14:paraId="0000027E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Improves internal execution and client leadership outcomes; faster OKR adoption.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7F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1–4</w:t>
            </w:r>
          </w:p>
        </w:tc>
        <w:tc>
          <w:tcPr/>
          <w:p w:rsidR="00000000" w:rsidDel="00000000" w:rsidP="00000000" w:rsidRDefault="00000000" w:rsidRPr="00000000" w14:paraId="00000280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81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82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Data Analytics for Business Professionals</w:t>
            </w:r>
          </w:p>
        </w:tc>
        <w:tc>
          <w:tcPr/>
          <w:p w:rsidR="00000000" w:rsidDel="00000000" w:rsidP="00000000" w:rsidRDefault="00000000" w:rsidRPr="00000000" w14:paraId="00000283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Build a KPI dashboard (revenue, churn, NPS) in Power BI/Looker Studio using sample </w:t>
            </w:r>
            <w:r w:rsidDel="00000000" w:rsidR="00000000" w:rsidRPr="00000000">
              <w:rPr>
                <w:rFonts w:ascii="Verdana" w:cs="Verdana" w:eastAsia="Verdana" w:hAnsi="Verdana"/>
                <w:sz w:val="24"/>
                <w:szCs w:val="24"/>
                <w:rtl w:val="0"/>
              </w:rPr>
              <w:t xml:space="preserve">Your Company</w:t>
            </w: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 data.</w:t>
            </w:r>
          </w:p>
        </w:tc>
        <w:tc>
          <w:tcPr/>
          <w:p w:rsidR="00000000" w:rsidDel="00000000" w:rsidP="00000000" w:rsidRDefault="00000000" w:rsidRPr="00000000" w14:paraId="00000284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Enables evidence-based decisions; improves KPI visibility and client reporting quality.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85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Weeks 5–12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General role alignment based on titles; detailed skills not available.</w:t>
            </w:r>
          </w:p>
        </w:tc>
        <w:tc>
          <w:tcPr/>
          <w:p w:rsidR="00000000" w:rsidDel="00000000" w:rsidP="00000000" w:rsidRDefault="00000000" w:rsidRPr="00000000" w14:paraId="00000287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Corporate Strategy and Growth Planning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Create a Business Model Canvas + 3-market entry plan in Miro; present a 12-week growth thesis.</w:t>
            </w:r>
          </w:p>
        </w:tc>
        <w:tc>
          <w:tcPr/>
          <w:p w:rsidR="00000000" w:rsidDel="00000000" w:rsidP="00000000" w:rsidRDefault="00000000" w:rsidRPr="00000000" w14:paraId="0000028A">
            <w:pPr>
              <w:spacing w:line="360" w:lineRule="auto"/>
              <w:jc w:val="both"/>
              <w:rPr>
                <w:rFonts w:ascii="Verdana" w:cs="Verdana" w:eastAsia="Verdana" w:hAnsi="Verdana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000000"/>
                <w:sz w:val="24"/>
                <w:szCs w:val="24"/>
                <w:rtl w:val="0"/>
              </w:rPr>
              <w:t xml:space="preserve">Sharpens market entry and growth moves; improves proposal win-rate and ROI of initiatives.</w:t>
            </w:r>
          </w:p>
        </w:tc>
      </w:tr>
    </w:tbl>
    <w:p w:rsidR="00000000" w:rsidDel="00000000" w:rsidP="00000000" w:rsidRDefault="00000000" w:rsidRPr="00000000" w14:paraId="0000028B">
      <w:pPr>
        <w:spacing w:line="360" w:lineRule="auto"/>
        <w:jc w:val="both"/>
        <w:rPr>
          <w:rFonts w:ascii="Verdana" w:cs="Verdana" w:eastAsia="Verdana" w:hAnsi="Verdan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Arial"/>
  <w:font w:name="Verdana"/>
  <w:font w:name="Arial Unicode MS"/>
  <w:font w:name="Courier New"/>
  <w:font w:name="Radley">
    <w:embedRegular w:fontKey="{00000000-0000-0000-0000-000000000000}" r:id="rId1" w:subsetted="0"/>
    <w:embedItalic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  <w:shd w:fill="d3dfee" w:val="clear"/>
      </w:tcPr>
    </w:tblStylePr>
    <w:tblStylePr w:type="band1Vert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  <w:shd w:fill="d3dfee" w:val="clear"/>
      </w:tcPr>
    </w:tblStylePr>
    <w:tblStylePr w:type="band2Horz"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V w:color="4f81bd" w:space="0" w:sz="8" w:val="single"/>
        </w:tcBorders>
      </w:tcPr>
    </w:tblStylePr>
    <w:tblStylePr w:type="firstCol">
      <w:rPr>
        <w:rFonts w:ascii="Calibri" w:cs="Calibri" w:eastAsia="Calibri" w:hAnsi="Calibri"/>
        <w:b w:val="1"/>
      </w:rPr>
    </w:tblStylePr>
    <w:tblStylePr w:type="fir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f81bd" w:space="0" w:sz="8" w:val="single"/>
          <w:left w:color="4f81bd" w:space="0" w:sz="8" w:val="single"/>
          <w:bottom w:color="4f81bd" w:space="0" w:sz="18" w:val="single"/>
          <w:right w:color="4f81bd" w:space="0" w:sz="8" w:val="single"/>
          <w:insideH w:color="000000" w:space="0" w:sz="0" w:val="nil"/>
          <w:insideV w:color="4f81bd" w:space="0" w:sz="8" w:val="single"/>
        </w:tcBorders>
      </w:tcPr>
    </w:tblStylePr>
    <w:tblStylePr w:type="lastCol">
      <w:rPr>
        <w:rFonts w:ascii="Calibri" w:cs="Calibri" w:eastAsia="Calibri" w:hAnsi="Calibri"/>
        <w:b w:val="1"/>
      </w:rPr>
      <w:tcPr>
        <w:tc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</w:tcBorders>
      </w:tcPr>
    </w:tblStylePr>
    <w:tblStylePr w:type="lastRow">
      <w:pPr>
        <w:spacing w:after="0" w:before="0" w:line="240" w:lineRule="auto"/>
      </w:pPr>
      <w:rPr>
        <w:rFonts w:ascii="Calibri" w:cs="Calibri" w:eastAsia="Calibri" w:hAnsi="Calibri"/>
        <w:b w:val="1"/>
      </w:rPr>
      <w:tcPr>
        <w:tcBorders>
          <w:top w:color="4f81bd" w:space="0" w:sz="6" w:val="single"/>
          <w:left w:color="4f81bd" w:space="0" w:sz="8" w:val="single"/>
          <w:bottom w:color="4f81bd" w:space="0" w:sz="8" w:val="single"/>
          <w:right w:color="4f81bd" w:space="0" w:sz="8" w:val="single"/>
          <w:insideH w:color="000000" w:space="0" w:sz="0" w:val="nil"/>
          <w:insideV w:color="4f81bd" w:space="0" w:sz="8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8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dley-regular.ttf"/><Relationship Id="rId2" Type="http://schemas.openxmlformats.org/officeDocument/2006/relationships/font" Target="fonts/Radley-italic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