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Debjit Roy -- 0-3 Month Skill Boost Plan</w:t>
      </w:r>
    </w:p>
    <w:p>
      <w:r>
        <w:t>This document outlines the 0-3 month skill upgrade plan for Debjit Roy,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Debjit Roy</w:t>
      </w:r>
    </w:p>
    <w:p>
      <w:r/>
      <w:r>
        <w:rPr>
          <w:b/>
        </w:rPr>
        <w:t>Current Role</w:t>
      </w:r>
      <w:r>
        <w:t>: Area Head, Government Business at IDFC FIRST Bank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Python, Risk Management, Strategic Planning, Budgeting, Data Analysis</w:t>
      </w:r>
    </w:p>
    <w:p>
      <w:r/>
      <w:r>
        <w:rPr>
          <w:b/>
        </w:rPr>
        <w:t>Course Modules</w:t>
      </w:r>
      <w:r>
        <w:t>: 44 topics across 18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Tableau</w:t>
            </w:r>
          </w:p>
        </w:tc>
        <w:tc>
          <w:tcPr>
            <w:tcW w:type="dxa" w:w="1080"/>
          </w:tcPr>
          <w:p>
            <w:r>
              <w:t>Personalized Learning Path for Debjit Roy, Module 1</w:t>
            </w:r>
          </w:p>
        </w:tc>
        <w:tc>
          <w:tcPr>
            <w:tcW w:type="dxa" w:w="1080"/>
          </w:tcPr>
          <w:p>
            <w:r>
              <w:t>Financial Analysis Report</w:t>
            </w:r>
          </w:p>
        </w:tc>
        <w:tc>
          <w:tcPr>
            <w:tcW w:type="dxa" w:w="1080"/>
          </w:tcPr>
          <w:p>
            <w:r>
              <w:t>Improved decision-making and financial forecasting</w:t>
            </w:r>
          </w:p>
        </w:tc>
        <w:tc>
          <w:tcPr>
            <w:tcW w:type="dxa" w:w="1080"/>
          </w:tcPr>
          <w:p>
            <w:r>
              <w:t>Competitor X uses advanced financial modeling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Jupyter Notebook</w:t>
            </w:r>
          </w:p>
        </w:tc>
        <w:tc>
          <w:tcPr>
            <w:tcW w:type="dxa" w:w="1080"/>
          </w:tcPr>
          <w:p>
            <w:r>
              <w:t>Personalized Learning Path for Debjit Roy, Module 2</w:t>
            </w:r>
          </w:p>
        </w:tc>
        <w:tc>
          <w:tcPr>
            <w:tcW w:type="dxa" w:w="1080"/>
          </w:tcPr>
          <w:p>
            <w:r>
              <w:t>Python Data Script</w:t>
            </w:r>
          </w:p>
        </w:tc>
        <w:tc>
          <w:tcPr>
            <w:tcW w:type="dxa" w:w="1080"/>
          </w:tcPr>
          <w:p>
            <w:r>
              <w:t>Enhanced data processing and automation</w:t>
            </w:r>
          </w:p>
        </w:tc>
        <w:tc>
          <w:tcPr>
            <w:tcW w:type="dxa" w:w="1080"/>
          </w:tcPr>
          <w:p>
            <w:r>
              <w:t>Competitor Y has integrated Python for automation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 for Debjit Roy, Module 3</w:t>
            </w:r>
          </w:p>
        </w:tc>
        <w:tc>
          <w:tcPr>
            <w:tcW w:type="dxa" w:w="1080"/>
          </w:tcPr>
          <w:p>
            <w:r>
              <w:t>Risk Assessment Plan</w:t>
            </w:r>
          </w:p>
        </w:tc>
        <w:tc>
          <w:tcPr>
            <w:tcW w:type="dxa" w:w="1080"/>
          </w:tcPr>
          <w:p>
            <w:r>
              <w:t>Mitigation of potential business risks</w:t>
            </w:r>
          </w:p>
        </w:tc>
        <w:tc>
          <w:tcPr>
            <w:tcW w:type="dxa" w:w="1080"/>
          </w:tcPr>
          <w:p>
            <w:r>
              <w:t>Competitor Z has a robust risk management framework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Strategic Frameworks</w:t>
            </w:r>
          </w:p>
        </w:tc>
        <w:tc>
          <w:tcPr>
            <w:tcW w:type="dxa" w:w="1080"/>
          </w:tcPr>
          <w:p>
            <w:r>
              <w:t>Personalized Learning Path for Debjit Roy, Module 4</w:t>
            </w:r>
          </w:p>
        </w:tc>
        <w:tc>
          <w:tcPr>
            <w:tcW w:type="dxa" w:w="1080"/>
          </w:tcPr>
          <w:p>
            <w:r>
              <w:t>Strategic Plan Report</w:t>
            </w:r>
          </w:p>
        </w:tc>
        <w:tc>
          <w:tcPr>
            <w:tcW w:type="dxa" w:w="1080"/>
          </w:tcPr>
          <w:p>
            <w:r>
              <w:t>Long-term business growth and sustainability</w:t>
            </w:r>
          </w:p>
        </w:tc>
        <w:tc>
          <w:tcPr>
            <w:tcW w:type="dxa" w:w="1080"/>
          </w:tcPr>
          <w:p>
            <w:r>
              <w:t>Competitor A excels in strategic foresight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Budgeting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Budgeting Software</w:t>
            </w:r>
          </w:p>
        </w:tc>
        <w:tc>
          <w:tcPr>
            <w:tcW w:type="dxa" w:w="1080"/>
          </w:tcPr>
          <w:p>
            <w:r>
              <w:t>Personalized Learning Path for Debjit Roy, Module 5</w:t>
            </w:r>
          </w:p>
        </w:tc>
        <w:tc>
          <w:tcPr>
            <w:tcW w:type="dxa" w:w="1080"/>
          </w:tcPr>
          <w:p>
            <w:r>
              <w:t>Budget Analysis Report</w:t>
            </w:r>
          </w:p>
        </w:tc>
        <w:tc>
          <w:tcPr>
            <w:tcW w:type="dxa" w:w="1080"/>
          </w:tcPr>
          <w:p>
            <w:r>
              <w:t>Efficient resource allocation</w:t>
            </w:r>
          </w:p>
        </w:tc>
        <w:tc>
          <w:tcPr>
            <w:tcW w:type="dxa" w:w="1080"/>
          </w:tcPr>
          <w:p>
            <w:r>
              <w:t>Competitor B has precise budgeting mechanisms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SQL, Data Visualization</w:t>
            </w:r>
          </w:p>
        </w:tc>
        <w:tc>
          <w:tcPr>
            <w:tcW w:type="dxa" w:w="1080"/>
          </w:tcPr>
          <w:p>
            <w:r>
              <w:t>Personalized Learning Path for Debjit Roy, Module 6</w:t>
            </w:r>
          </w:p>
        </w:tc>
        <w:tc>
          <w:tcPr>
            <w:tcW w:type="dxa" w:w="1080"/>
          </w:tcPr>
          <w:p>
            <w:r>
              <w:t>Data Insights Presentation</w:t>
            </w:r>
          </w:p>
        </w:tc>
        <w:tc>
          <w:tcPr>
            <w:tcW w:type="dxa" w:w="1080"/>
          </w:tcPr>
          <w:p>
            <w:r>
              <w:t>Data-driven business decisions</w:t>
            </w:r>
          </w:p>
        </w:tc>
        <w:tc>
          <w:tcPr>
            <w:tcW w:type="dxa" w:w="1080"/>
          </w:tcPr>
          <w:p>
            <w:r>
              <w:t>Competitor C employs advanced data analytics</w:t>
            </w:r>
          </w:p>
        </w:tc>
      </w:tr>
    </w:tbl>
    <w:p>
      <w:r>
        <w:t>Focus on Financial Analysis and Python → Deliver Financial Analysis Report and Python Data Script → Address competitor gaps in financial modeling and automation.</w:t>
      </w:r>
    </w:p>
    <w:p>
      <w:pPr>
        <w:pStyle w:val="Heading3"/>
      </w:pPr>
      <w:r>
        <w:t>Phase 2: Weeks 5-12 (Strategic Enhancement)</w:t>
      </w:r>
    </w:p>
    <w:p>
      <w:r>
        <w:t>Advanced skills in Risk Management, Strategic Planning, Budgeting, and Data Analysis → Complete Risk Assessment Plan, Strategic Plan Report, Budget Analysis Report, and Data Insights Presentation → Achieve parity with top competitors in risk management, strategic foresight, budgeting efficiency, and data analytics.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Financial Analysis and Python for maximum impact in the initial month</w:t>
      </w:r>
    </w:p>
    <w:p>
      <w:pPr>
        <w:pStyle w:val="ListBullet"/>
      </w:pPr>
      <w:r>
        <w:t>Gradually enhance skills in Risk Management and Strategic Planning in the following months</w:t>
      </w:r>
    </w:p>
    <w:p>
      <w:pPr>
        <w:pStyle w:val="ListBullet"/>
      </w:pPr>
      <w:r>
        <w:t>Integrate Budgeting and Data Analysis as supplementary skills for long-term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