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rPr>
          <w:rFonts/>
          <w:b w:val="true"/>
        </w:rPr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r>
        <w:t xml:space="preserve">: </w:t>
      </w:r>
      <w:r>
        <w:t xml:space="preserve">Summary descriptives table by groups of `comorbidities’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78"/>
        <w:gridCol w:w="2527"/>
        <w:gridCol w:w="2527"/>
        <w:gridCol w:w="2527"/>
        <w:gridCol w:w="2527"/>
        <w:gridCol w:w="1273"/>
        <w:gridCol w:w="900"/>
      </w:tblGrid>
      <w:tr>
        <w:trPr>
          <w:cantSplit/>
          <w:trHeight w:val="614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       [ALL]       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       none        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        one        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    two or more    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p.overall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 N  </w:t>
            </w:r>
          </w:p>
        </w:tc>
      </w:tr>
      <w:tr>
        <w:trPr>
          <w:cantSplit/>
          <w:trHeight w:val="573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>      N=4092 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>      N=1536 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>      N=1666 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>       N=890 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i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family_sep: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0.518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4092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39.5% [38.0%;41.0%]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40.5% [38.0%;43.0%]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40.0% [37.6%;42.4%]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37.0% [33.8%;40.2%]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intermediate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41.8% [40.3%;43.3%]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40.5% [38.0%;43.0%]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42.4% [40.0%;44.8%]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43.0% [39.8%;46.4%]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18.0% [16.9%;19.2%]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18.3% [16.4%;20.3%]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17.0% [15.3%;18.9%]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19.4% [16.9%;22.2%]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Not reply/Don't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0.64% [0.42%;0.93%]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0.72% [0.36%;1.28%]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0.60% [0.29%;1.10%]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0.56% [0.18%;1.31%]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current_sep: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0.623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4092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74.1% [72.7%;75.5%]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74.5% [72.2%;76.6%]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74.4% [72.3%;76.5%]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72.9% [69.9%;75.8%]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intermediate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25.3% [24.0%;26.7%]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24.9% [22.8%;27.2%]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24.8% [22.8%;27.0%]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26.7% [23.9%;29.8%]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0.59% [0.38%;0.87%]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0.59% [0.27%;1.11%]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0.72% [0.37%;1.25%]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0.34% [0.07%;0.98%]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sep_occupation: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.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4092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skilled manual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40.1% [38.5%;41.6%]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39.2% [36.7%;41.7%]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39.7% [37.3%;42.1%]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42.2% [39.0%;45.6%]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semi-skilled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55.4% [53.8%;56.9%]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56.6% [54.1%;59.1%]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55.4% [53.0%;57.8%]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53.1% [49.8%;56.5%]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non-manual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4.55% [3.93%;5.23%]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4.23% [3.28%;5.36%]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4.80% [3.83%;5.94%]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4.61% [3.33%;6.20%]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Not reply/Don't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0.05% [0.01%;0.18%]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0.00% [0.00%;0.24%]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0.12% [0.01%;0.43%]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0.00% [0.00%;0.41%]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5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educational_level: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.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4092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76.1% [74.8%;77.4%]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74.4% [72.2%;76.6%]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76.7% [74.6%;78.7%]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78.0% [75.1%;80.7%]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intermediate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16.7% [15.6%;17.9%]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17.6% [15.8%;19.6%]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16.6% [14.8%;18.4%]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15.4% [13.1%;17.9%]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6.74% [6.00%;7.56%]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7.68% [6.40%;9.13%]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6.12% [5.02%;7.38%]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6.29% [4.79%;8.09%]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Not reply/Don't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0.42% [0.24%;0.66%]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0.26% [0.07%;0.67%]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0.60% [0.29%;1.10%]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0.34% [0.07%;0.98%]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acesum: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0.004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3947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one or two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62.8% [61.3%;64.3%]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65.5% [63.0%;67.9%]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63.1% [60.7%;65.5%]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57.5% [54.1%;60.8%]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three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23.8% [22.4%;25.1%]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21.8% [19.7%;24.0%]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23.6% [21.5%;25.8%]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27.5% [24.5%;30.6%]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four or 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13.5% [12.4%;14.6%]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12.7% [11.0%;14.5%]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13.3% [11.7%;15.0%]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15.1% [12.7%;17.6%]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5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health_insurance: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&lt;0.001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4092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insured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42.8% [41.3%;44.4%]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39.9% [37.4%;42.4%]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41.8% [39.4%;44.2%]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49.9% [46.6%;53.2%]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subsidised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54.9% [53.3%;56.4%]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57.1% [54.6%;59.6%]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55.9% [53.5%;58.3%]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49.1% [45.8%;52.4%]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uninsured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2.27% [1.84%;2.78%]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2.99% [2.20%;3.97%]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2.28% [1.62%;3.12%]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1.01% [0.46%;1.91%]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5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social.cash.transfer: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.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4092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23.6% [22.3%;24.9%]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23.5% [21.4%;25.7%]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24.8% [22.7%;26.9%]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21.3% [18.7%;24.2%]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Not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76.1% [74.8%;77.4%]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76.0% [73.8%;78.2%]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74.9% [72.8%;77.0%]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78.4% [75.6%;81.1%]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Not reply/Don't know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0.34% [0.19%;0.57%]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0.46% [0.18%;0.94%]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0.30% [0.10%;0.70%]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0.22% [0.03%;0.81%]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 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2022-03-03T14:57:49Z</dcterms:created>
  <dcterms:modified xsi:type="dcterms:W3CDTF">2022-03-03T14:57:49Z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