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Hipótesis</w:t>
      </w:r>
      <w:r>
        <w:t xml:space="preserve"> </w:t>
      </w:r>
      <w:r>
        <w:t xml:space="preserve">en</w:t>
      </w:r>
      <w:r>
        <w:t xml:space="preserve"> </w:t>
      </w:r>
      <w:r>
        <w:t xml:space="preserve">torno</w:t>
      </w:r>
      <w:r>
        <w:t xml:space="preserve"> </w:t>
      </w:r>
      <w:r>
        <w:t xml:space="preserve">a</w:t>
      </w:r>
      <w:r>
        <w:t xml:space="preserve"> </w:t>
      </w:r>
      <w:r>
        <w:t xml:space="preserve">la</w:t>
      </w:r>
      <w:r>
        <w:t xml:space="preserve"> </w:t>
      </w:r>
      <w:r>
        <w:t xml:space="preserve">variabilidad</w:t>
      </w:r>
      <w:r>
        <w:t xml:space="preserve"> </w:t>
      </w:r>
      <w:r>
        <w:t xml:space="preserve">cultural</w:t>
      </w:r>
      <w:r>
        <w:t xml:space="preserve"> </w:t>
      </w:r>
      <w:r>
        <w:t xml:space="preserve">de</w:t>
      </w:r>
      <w:r>
        <w:t xml:space="preserve"> </w:t>
      </w:r>
      <w:r>
        <w:t xml:space="preserve">las</w:t>
      </w:r>
      <w:r>
        <w:t xml:space="preserve"> </w:t>
      </w:r>
      <w:r>
        <w:t xml:space="preserve">emociones</w:t>
      </w:r>
    </w:p>
    <w:p>
      <w:pPr>
        <w:pStyle w:val="Author"/>
      </w:pPr>
      <w:r>
        <w:t xml:space="preserve">Juan</w:t>
      </w:r>
      <w:r>
        <w:t xml:space="preserve"> </w:t>
      </w:r>
      <w:r>
        <w:t xml:space="preserve">R.</w:t>
      </w:r>
      <w:r>
        <w:t xml:space="preserve"> </w:t>
      </w:r>
      <w:r>
        <w:t xml:space="preserve">Loaiza</w:t>
      </w:r>
    </w:p>
    <w:bookmarkStart w:id="26" w:name="introducción"/>
    <w:p>
      <w:pPr>
        <w:pStyle w:val="Heading1"/>
      </w:pPr>
      <w:r>
        <w:t xml:space="preserve">Introducción</w:t>
      </w:r>
    </w:p>
    <w:bookmarkStart w:id="20" w:name="el-problema"/>
    <w:p>
      <w:pPr>
        <w:pStyle w:val="Heading2"/>
      </w:pPr>
      <w:r>
        <w:t xml:space="preserve">El problema</w:t>
      </w:r>
    </w:p>
    <w:p>
      <w:pPr>
        <w:pStyle w:val="FirstParagraph"/>
      </w:pPr>
      <w:r>
        <w:t xml:space="preserve">¿Cómo varían las emociones entre distintos grupos culturales?</w:t>
      </w:r>
    </w:p>
    <w:p>
      <w:pPr>
        <w:pStyle w:val="BodyText"/>
      </w:pPr>
      <w:r>
        <w:t xml:space="preserve">Ejemplos:</w:t>
      </w:r>
    </w:p>
    <w:p>
      <w:pPr>
        <w:numPr>
          <w:ilvl w:val="0"/>
          <w:numId w:val="1001"/>
        </w:numPr>
        <w:pStyle w:val="Compact"/>
      </w:pPr>
      <w:r>
        <w:t xml:space="preserve">Variaciones en</w:t>
      </w:r>
      <w:r>
        <w:t xml:space="preserve"> </w:t>
      </w:r>
      <w:r>
        <w:rPr>
          <w:iCs/>
          <w:i/>
        </w:rPr>
        <w:t xml:space="preserve">intensidad</w:t>
      </w:r>
      <w:r>
        <w:t xml:space="preserve"> </w:t>
      </w:r>
      <w:r>
        <w:t xml:space="preserve">entre americanos y sociedades en Asia</w:t>
      </w:r>
      <w:r>
        <w:t xml:space="preserve"> </w:t>
      </w:r>
      <w:r>
        <w:t xml:space="preserve">(Lim, 2016)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Significado de</w:t>
      </w:r>
      <w:r>
        <w:t xml:space="preserve"> </w:t>
      </w:r>
      <w:r>
        <w:t xml:space="preserve">“</w:t>
      </w:r>
      <w:r>
        <w:t xml:space="preserve">estar</w:t>
      </w:r>
      <w:r>
        <w:t xml:space="preserve"> </w:t>
      </w:r>
      <w:r>
        <w:rPr>
          <w:iCs/>
          <w:i/>
        </w:rPr>
        <w:t xml:space="preserve">alegre</w:t>
      </w:r>
      <w:r>
        <w:t xml:space="preserve">”</w:t>
      </w:r>
      <w:r>
        <w:t xml:space="preserve"> </w:t>
      </w:r>
      <w:r>
        <w:t xml:space="preserve">entre estadounidenses y japoneses</w:t>
      </w:r>
      <w:r>
        <w:t xml:space="preserve"> </w:t>
      </w:r>
      <w:r>
        <w:t xml:space="preserve">(Uchida &amp; Kitayama, 2009)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Aculturación emocional en migrantes de primera y segunda generación</w:t>
      </w:r>
      <w:r>
        <w:t xml:space="preserve"> </w:t>
      </w:r>
      <w:r>
        <w:t xml:space="preserve">(De Leersnyder, 2017)</w:t>
      </w:r>
      <w:r>
        <w:t xml:space="preserve">.</w:t>
      </w:r>
    </w:p>
    <w:p>
      <w:pPr>
        <w:pStyle w:val="FirstParagraph"/>
      </w:pPr>
      <w:r>
        <w:t xml:space="preserve">En estos casos, se postulan diferencias en cómo ocurren las emociones entre varias culturas.</w:t>
      </w:r>
    </w:p>
    <w:bookmarkEnd w:id="20"/>
    <w:bookmarkStart w:id="23" w:name="por-qué-importa-el-problema"/>
    <w:p>
      <w:pPr>
        <w:pStyle w:val="Heading2"/>
      </w:pPr>
      <w:r>
        <w:t xml:space="preserve">¿Por qué importa el problema?</w:t>
      </w:r>
    </w:p>
    <w:p>
      <w:pPr>
        <w:pStyle w:val="FirstParagraph"/>
      </w:pPr>
      <w:r>
        <w:t xml:space="preserve">Algunos tipos de variación cultural son fuente de evidencia para decidir entre teorías.</w:t>
      </w:r>
    </w:p>
    <w:bookmarkStart w:id="21" w:name="si-hay-variación"/>
    <w:p>
      <w:pPr>
        <w:pStyle w:val="Heading3"/>
      </w:pPr>
      <w:r>
        <w:t xml:space="preserve">Si hay variación…</w:t>
      </w:r>
    </w:p>
    <w:p>
      <w:pPr>
        <w:numPr>
          <w:ilvl w:val="0"/>
          <w:numId w:val="1002"/>
        </w:numPr>
        <w:pStyle w:val="Compact"/>
      </w:pPr>
      <w:r>
        <w:t xml:space="preserve">No hay universalidad</w:t>
      </w:r>
    </w:p>
    <w:p>
      <w:pPr>
        <w:numPr>
          <w:ilvl w:val="0"/>
          <w:numId w:val="1002"/>
        </w:numPr>
        <w:pStyle w:val="Compact"/>
      </w:pPr>
      <w:r>
        <w:t xml:space="preserve">Las emociones no forman clases naturales</w:t>
      </w:r>
    </w:p>
    <w:p>
      <w:pPr>
        <w:numPr>
          <w:ilvl w:val="0"/>
          <w:numId w:val="1002"/>
        </w:numPr>
        <w:pStyle w:val="Compact"/>
      </w:pPr>
      <w:r>
        <w:t xml:space="preserve">Rol limitado para la biología</w:t>
      </w:r>
    </w:p>
    <w:bookmarkEnd w:id="21"/>
    <w:bookmarkStart w:id="22" w:name="si-no-hay-variación"/>
    <w:p>
      <w:pPr>
        <w:pStyle w:val="Heading3"/>
      </w:pPr>
      <w:r>
        <w:t xml:space="preserve">Si no hay variación…</w:t>
      </w:r>
    </w:p>
    <w:p>
      <w:pPr>
        <w:numPr>
          <w:ilvl w:val="0"/>
          <w:numId w:val="1003"/>
        </w:numPr>
        <w:pStyle w:val="Compact"/>
      </w:pPr>
      <w:r>
        <w:t xml:space="preserve">Hay universalidad</w:t>
      </w:r>
    </w:p>
    <w:p>
      <w:pPr>
        <w:numPr>
          <w:ilvl w:val="0"/>
          <w:numId w:val="1003"/>
        </w:numPr>
        <w:pStyle w:val="Compact"/>
      </w:pPr>
      <w:r>
        <w:t xml:space="preserve">Las emociones podrían formar clases naturales</w:t>
      </w:r>
    </w:p>
    <w:p>
      <w:pPr>
        <w:numPr>
          <w:ilvl w:val="0"/>
          <w:numId w:val="1003"/>
        </w:numPr>
        <w:pStyle w:val="Compact"/>
      </w:pPr>
      <w:r>
        <w:t xml:space="preserve">La biología como mejor explicación</w:t>
      </w:r>
    </w:p>
    <w:bookmarkEnd w:id="22"/>
    <w:bookmarkEnd w:id="23"/>
    <w:bookmarkStart w:id="24" w:name="tesis-principales"/>
    <w:p>
      <w:pPr>
        <w:pStyle w:val="Heading2"/>
      </w:pPr>
      <w:r>
        <w:t xml:space="preserve">Tesis principales</w:t>
      </w:r>
    </w:p>
    <w:p>
      <w:pPr>
        <w:numPr>
          <w:ilvl w:val="0"/>
          <w:numId w:val="1004"/>
        </w:numPr>
        <w:pStyle w:val="Compact"/>
      </w:pPr>
      <w:r>
        <w:t xml:space="preserve">Hay dos tipos de hipótesis sobre la variabilidad cultural de las emociones.</w:t>
      </w:r>
    </w:p>
    <w:p>
      <w:pPr>
        <w:numPr>
          <w:ilvl w:val="0"/>
          <w:numId w:val="1005"/>
        </w:numPr>
        <w:pStyle w:val="Compact"/>
      </w:pPr>
      <w:r>
        <w:t xml:space="preserve">Repertorios emocionales</w:t>
      </w:r>
    </w:p>
    <w:p>
      <w:pPr>
        <w:numPr>
          <w:ilvl w:val="0"/>
          <w:numId w:val="1005"/>
        </w:numPr>
        <w:pStyle w:val="Compact"/>
      </w:pPr>
      <w:r>
        <w:t xml:space="preserve">Aspectos de la emoción</w:t>
      </w:r>
    </w:p>
    <w:p>
      <w:pPr>
        <w:numPr>
          <w:ilvl w:val="0"/>
          <w:numId w:val="1006"/>
        </w:numPr>
      </w:pPr>
      <w:r>
        <w:t xml:space="preserve">Solo las hipótesis sobre aspectos de la emoción son dirimibles empíricamente.</w:t>
      </w:r>
    </w:p>
    <w:p>
      <w:pPr>
        <w:numPr>
          <w:ilvl w:val="0"/>
          <w:numId w:val="1006"/>
        </w:numPr>
      </w:pPr>
      <w:r>
        <w:t xml:space="preserve">La ciencia de la emoción es relativa al marco cultural, pero con rango universal.</w:t>
      </w:r>
    </w:p>
    <w:bookmarkEnd w:id="24"/>
    <w:bookmarkStart w:id="25" w:name="plan"/>
    <w:p>
      <w:pPr>
        <w:pStyle w:val="Heading2"/>
      </w:pPr>
      <w:r>
        <w:t xml:space="preserve">Plan</w:t>
      </w:r>
    </w:p>
    <w:p>
      <w:pPr>
        <w:numPr>
          <w:ilvl w:val="0"/>
          <w:numId w:val="1007"/>
        </w:numPr>
      </w:pPr>
      <w:r>
        <w:t xml:space="preserve">Hipótesis en torno a la variabilidad cultural de las emociones.</w:t>
      </w:r>
    </w:p>
    <w:p>
      <w:pPr>
        <w:numPr>
          <w:ilvl w:val="1"/>
          <w:numId w:val="1008"/>
        </w:numPr>
        <w:pStyle w:val="Compact"/>
      </w:pPr>
      <w:r>
        <w:t xml:space="preserve">Repertorios emocionales</w:t>
      </w:r>
    </w:p>
    <w:p>
      <w:pPr>
        <w:numPr>
          <w:ilvl w:val="1"/>
          <w:numId w:val="1008"/>
        </w:numPr>
        <w:pStyle w:val="Compact"/>
      </w:pPr>
      <w:r>
        <w:t xml:space="preserve">Aspectos de la emoción</w:t>
      </w:r>
    </w:p>
    <w:p>
      <w:pPr>
        <w:numPr>
          <w:ilvl w:val="0"/>
          <w:numId w:val="1007"/>
        </w:numPr>
      </w:pPr>
      <w:r>
        <w:t xml:space="preserve">Contra la variabilidad</w:t>
      </w:r>
      <w:r>
        <w:t xml:space="preserve"> </w:t>
      </w:r>
      <w:r>
        <w:t xml:space="preserve">3.en repertorios emocionales</w:t>
      </w:r>
    </w:p>
    <w:p>
      <w:pPr>
        <w:numPr>
          <w:ilvl w:val="0"/>
          <w:numId w:val="1007"/>
        </w:numPr>
      </w:pPr>
      <w:r>
        <w:t xml:space="preserve">Algunas objeciones y respuestas</w:t>
      </w:r>
    </w:p>
    <w:p>
      <w:pPr>
        <w:numPr>
          <w:ilvl w:val="0"/>
          <w:numId w:val="1007"/>
        </w:numPr>
      </w:pPr>
      <w:r>
        <w:t xml:space="preserve">Consecuencias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3" w:name="hipótesis"/>
    <w:p>
      <w:pPr>
        <w:pStyle w:val="Heading1"/>
      </w:pPr>
      <w:r>
        <w:t xml:space="preserve">Hipótesis</w:t>
      </w:r>
    </w:p>
    <w:bookmarkStart w:id="28" w:name="repertorios-emocionales"/>
    <w:p>
      <w:pPr>
        <w:pStyle w:val="Heading2"/>
      </w:pPr>
      <w:r>
        <w:t xml:space="preserve">Repertorios emocionales</w:t>
      </w:r>
    </w:p>
    <w:p>
      <w:pPr>
        <w:pStyle w:val="FirstParagraph"/>
      </w:pPr>
      <w:r>
        <w:t xml:space="preserve">Un conjunto de hipótesis consisten en postular emociones por fuera de nuestra comprensión.</w:t>
      </w:r>
    </w:p>
    <w:bookmarkStart w:id="27" w:name="ejemplo-lutz1988"/>
    <w:p>
      <w:pPr>
        <w:pStyle w:val="Heading3"/>
      </w:pPr>
      <w:r>
        <w:t xml:space="preserve">Ejemplo:</w:t>
      </w:r>
      <w:r>
        <w:t xml:space="preserve"> </w:t>
      </w:r>
      <w:r>
        <w:t xml:space="preserve">Lutz (1988)</w:t>
      </w:r>
    </w:p>
    <w:p>
      <w:pPr>
        <w:numPr>
          <w:ilvl w:val="0"/>
          <w:numId w:val="1009"/>
        </w:numPr>
        <w:pStyle w:val="Compact"/>
      </w:pPr>
      <w:r>
        <w:t xml:space="preserve">Etnografía con los</w:t>
      </w:r>
      <w:r>
        <w:t xml:space="preserve"> </w:t>
      </w:r>
      <w:r>
        <w:rPr>
          <w:iCs/>
          <w:i/>
        </w:rPr>
        <w:t xml:space="preserve">Ifaluk</w:t>
      </w:r>
    </w:p>
    <w:p>
      <w:pPr>
        <w:numPr>
          <w:ilvl w:val="0"/>
          <w:numId w:val="1009"/>
        </w:numPr>
        <w:pStyle w:val="Compact"/>
      </w:pPr>
      <w:r>
        <w:t xml:space="preserve">Emociones como</w:t>
      </w:r>
      <w:r>
        <w:t xml:space="preserve"> </w:t>
      </w:r>
      <w:r>
        <w:rPr>
          <w:iCs/>
          <w:i/>
        </w:rPr>
        <w:t xml:space="preserve">fago</w:t>
      </w:r>
      <w:r>
        <w:t xml:space="preserve">…</w:t>
      </w:r>
    </w:p>
    <w:p>
      <w:pPr>
        <w:numPr>
          <w:ilvl w:val="0"/>
          <w:numId w:val="1009"/>
        </w:numPr>
        <w:pStyle w:val="Compact"/>
      </w:pPr>
      <w:r>
        <w:t xml:space="preserve">Falta de correspondencias léxicas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hipótesis-sobre-repertorios-emocionales"/>
    <w:p>
      <w:pPr>
        <w:pStyle w:val="Heading2"/>
      </w:pPr>
      <w:r>
        <w:t xml:space="preserve">Hipótesis sobre repertorios emocionales</w:t>
      </w:r>
    </w:p>
    <w:p>
      <w:pPr>
        <w:pStyle w:val="FirstParagraph"/>
      </w:pPr>
      <w:r>
        <w:t xml:space="preserve">Para un grupo objetivo, consideremos sus repertorios de emociones como un conjunto de emociones</w:t>
      </w:r>
      <w:r>
        <w:t xml:space="preserve"> </w:t>
      </w:r>
      <m:oMath>
        <m:r>
          <m:t>E</m:t>
        </m:r>
        <m:r>
          <m:t>R</m:t>
        </m:r>
        <m:r>
          <m:rPr>
            <m:sty m:val="p"/>
          </m:rPr>
          <m:t>=</m:t>
        </m:r>
        <m:r>
          <m:rPr>
            <m:sty m:val="p"/>
          </m:rPr>
          <m:t>{</m:t>
        </m:r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y las emociones que podemos explicar como el conjunto</w:t>
      </w:r>
      <w:r>
        <w:t xml:space="preserve"> </w:t>
      </w:r>
      <m:oMath>
        <m:r>
          <m:t>E</m:t>
        </m:r>
        <m:r>
          <m:t>E</m:t>
        </m:r>
      </m:oMath>
      <w:r>
        <w:t xml:space="preserve">.</w:t>
      </w:r>
    </w:p>
    <w:p>
      <w:pPr>
        <w:pStyle w:val="BodyText"/>
      </w:pPr>
      <w:r>
        <w:t xml:space="preserve">Universalismo:</w:t>
      </w:r>
      <w:r>
        <w:t xml:space="preserve"> </w:t>
      </w:r>
      <m:oMath>
        <m:r>
          <m:t>E</m:t>
        </m:r>
        <m:r>
          <m:t>R</m:t>
        </m:r>
      </m:oMath>
      <w:r>
        <w:t xml:space="preserve"> </w:t>
      </w:r>
      <w:r>
        <w:t xml:space="preserve">=</w:t>
      </w:r>
      <w:r>
        <w:t xml:space="preserve"> </w:t>
      </w:r>
      <m:oMath>
        <m:r>
          <m:t>E</m:t>
        </m:r>
        <m:r>
          <m:t>E</m:t>
        </m:r>
      </m:oMath>
    </w:p>
    <w:p>
      <w:pPr>
        <w:pStyle w:val="BodyText"/>
      </w:pPr>
      <w:r>
        <w:t xml:space="preserve">Relativismo:</w:t>
      </w:r>
      <w:r>
        <w:t xml:space="preserve"> </w:t>
      </w:r>
      <m:oMath>
        <m:r>
          <m:t>E</m:t>
        </m:r>
        <m:r>
          <m:t>R</m:t>
        </m:r>
        <m:r>
          <m:rPr>
            <m:sty m:val="p"/>
          </m:rPr>
          <m:t>−</m:t>
        </m:r>
        <m:r>
          <m:t>E</m:t>
        </m:r>
        <m:r>
          <m:t>E</m:t>
        </m:r>
        <m:r>
          <m:rPr>
            <m:sty m:val="p"/>
          </m:rPr>
          <m:t>≠</m:t>
        </m:r>
        <m:r>
          <m:rPr>
            <m:sty m:val="p"/>
          </m:rPr>
          <m:t>∅</m:t>
        </m:r>
      </m:oMath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Débil:</w:t>
      </w:r>
      <w:r>
        <w:t xml:space="preserve"> </w:t>
      </w:r>
      <m:oMath>
        <m:r>
          <m:t>E</m:t>
        </m:r>
        <m:r>
          <m:t>E</m:t>
        </m:r>
        <m:r>
          <m:rPr>
            <m:sty m:val="p"/>
          </m:rPr>
          <m:t>∩</m:t>
        </m:r>
        <m:r>
          <m:t>E</m:t>
        </m:r>
        <m:r>
          <m:t>R</m:t>
        </m:r>
        <m:r>
          <m:rPr>
            <m:sty m:val="p"/>
          </m:rPr>
          <m:t>≠</m:t>
        </m:r>
        <m:r>
          <m:rPr>
            <m:sty m:val="p"/>
          </m:rPr>
          <m:t>∅</m:t>
        </m:r>
      </m:oMath>
    </w:p>
    <w:p>
      <w:pPr>
        <w:numPr>
          <w:ilvl w:val="0"/>
          <w:numId w:val="1010"/>
        </w:numPr>
        <w:pStyle w:val="Compact"/>
      </w:pPr>
      <w:r>
        <w:t xml:space="preserve">Fuerte:</w:t>
      </w:r>
      <w:r>
        <w:t xml:space="preserve"> </w:t>
      </w:r>
      <m:oMath>
        <m:r>
          <m:t>E</m:t>
        </m:r>
        <m:r>
          <m:t>E</m:t>
        </m:r>
        <m:r>
          <m:rPr>
            <m:sty m:val="p"/>
          </m:rPr>
          <m:t>∩</m:t>
        </m:r>
        <m:r>
          <m:t>E</m:t>
        </m:r>
        <m:r>
          <m:t>R</m:t>
        </m:r>
        <m:r>
          <m:rPr>
            <m:sty m:val="p"/>
          </m:rPr>
          <m:t>=</m:t>
        </m:r>
        <m:r>
          <m:rPr>
            <m:sty m:val="p"/>
          </m:rPr>
          <m:t>∅</m:t>
        </m:r>
      </m:oMath>
    </w:p>
    <w:p>
      <w:r>
        <w:pict>
          <v:rect style="width:0;height:1.5pt" o:hralign="center" o:hrstd="t" o:hr="t"/>
        </w:pict>
      </w:r>
    </w:p>
    <w:bookmarkEnd w:id="29"/>
    <w:bookmarkStart w:id="30" w:name="aspectos-de-la-emoción"/>
    <w:p>
      <w:pPr>
        <w:pStyle w:val="Heading2"/>
      </w:pPr>
      <w:r>
        <w:t xml:space="preserve">Aspectos de la emoción</w:t>
      </w:r>
    </w:p>
    <w:p>
      <w:pPr>
        <w:pStyle w:val="FirstParagraph"/>
      </w:pPr>
      <w:r>
        <w:t xml:space="preserve">También podemos postular hipótesis en torno a variaciones de</w:t>
      </w:r>
      <w:r>
        <w:t xml:space="preserve"> </w:t>
      </w:r>
      <w:r>
        <w:rPr>
          <w:iCs/>
          <w:i/>
        </w:rPr>
        <w:t xml:space="preserve">aspectos locales</w:t>
      </w:r>
      <w:r>
        <w:t xml:space="preserve"> </w:t>
      </w:r>
      <w:r>
        <w:t xml:space="preserve">de una emoción.</w:t>
      </w:r>
    </w:p>
    <w:p>
      <w:pPr>
        <w:numPr>
          <w:ilvl w:val="0"/>
          <w:numId w:val="1011"/>
        </w:numPr>
        <w:pStyle w:val="Compact"/>
      </w:pPr>
      <w:r>
        <w:t xml:space="preserve">Eventos antecedentes</w:t>
      </w:r>
    </w:p>
    <w:p>
      <w:pPr>
        <w:numPr>
          <w:ilvl w:val="0"/>
          <w:numId w:val="1011"/>
        </w:numPr>
        <w:pStyle w:val="Compact"/>
      </w:pPr>
      <w:r>
        <w:t xml:space="preserve">Expresiones faciales</w:t>
      </w:r>
    </w:p>
    <w:p>
      <w:pPr>
        <w:numPr>
          <w:ilvl w:val="0"/>
          <w:numId w:val="1011"/>
        </w:numPr>
        <w:pStyle w:val="Compact"/>
      </w:pPr>
      <w:r>
        <w:t xml:space="preserve">Normas sociales</w:t>
      </w:r>
    </w:p>
    <w:p>
      <w:pPr>
        <w:numPr>
          <w:ilvl w:val="0"/>
          <w:numId w:val="1011"/>
        </w:numPr>
        <w:pStyle w:val="Compact"/>
      </w:pPr>
      <w:r>
        <w:t xml:space="preserve">Mecanismos de regulación</w:t>
      </w:r>
    </w:p>
    <w:p>
      <w:pPr>
        <w:numPr>
          <w:ilvl w:val="0"/>
          <w:numId w:val="1011"/>
        </w:numPr>
        <w:pStyle w:val="Compact"/>
      </w:pPr>
      <w:r>
        <w:t xml:space="preserve">Narrativas</w:t>
      </w:r>
    </w:p>
    <w:p>
      <w:pPr>
        <w:pStyle w:val="FirstParagraph"/>
      </w:pPr>
      <w:r>
        <w:t xml:space="preserve">Estas hipótesis son</w:t>
      </w:r>
      <w:r>
        <w:t xml:space="preserve"> </w:t>
      </w:r>
      <w:r>
        <w:rPr>
          <w:iCs/>
          <w:i/>
        </w:rPr>
        <w:t xml:space="preserve">locales</w:t>
      </w:r>
      <w:r>
        <w:t xml:space="preserve"> </w:t>
      </w:r>
      <w:r>
        <w:t xml:space="preserve">a una emoción concreta.</w:t>
      </w:r>
    </w:p>
    <w:bookmarkEnd w:id="30"/>
    <w:bookmarkStart w:id="31" w:name="hipótesis-sobre-variaciones-de-aspecto"/>
    <w:p>
      <w:pPr>
        <w:pStyle w:val="Heading2"/>
      </w:pPr>
      <w:r>
        <w:t xml:space="preserve">Hipótesis sobre variaciones de aspecto</w:t>
      </w:r>
    </w:p>
    <w:p>
      <w:pPr>
        <w:pStyle w:val="FirstParagraph"/>
      </w:pPr>
      <w:r>
        <w:t xml:space="preserve">Para una emoción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con componentes/aspectos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, cuando la comparamos entre dos grupos culturales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BodyText"/>
      </w:pPr>
      <w:r>
        <w:t xml:space="preserve">Universalismo:</w:t>
      </w:r>
      <w:r>
        <w:t xml:space="preserve"> </w:t>
      </w:r>
      <m:oMath>
        <m:sSub>
          <m:e>
            <m:r>
              <m:t>A</m:t>
            </m:r>
          </m:e>
          <m:sub>
            <m:r>
              <m:t>C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C</m:t>
            </m:r>
            <m:r>
              <m:t>2</m:t>
            </m:r>
          </m:sub>
        </m:sSub>
      </m:oMath>
    </w:p>
    <w:p>
      <w:pPr>
        <w:pStyle w:val="BodyText"/>
      </w:pPr>
      <w:r>
        <w:t xml:space="preserve">Relativismo:</w:t>
      </w:r>
      <w:r>
        <w:t xml:space="preserve"> </w:t>
      </w:r>
      <m:oMath>
        <m:sSub>
          <m:e>
            <m:r>
              <m:t>A</m:t>
            </m:r>
          </m:e>
          <m:sub>
            <m:r>
              <m:t>C</m:t>
            </m:r>
            <m:r>
              <m:t>1</m:t>
            </m:r>
          </m:sub>
        </m:sSub>
        <m:r>
          <m:rPr>
            <m:sty m:val="p"/>
          </m:rPr>
          <m:t>≠</m:t>
        </m:r>
        <m:sSub>
          <m:e>
            <m:r>
              <m:t>A</m:t>
            </m:r>
          </m:e>
          <m:sub>
            <m:r>
              <m:t>C</m:t>
            </m:r>
            <m:r>
              <m:t>2</m:t>
            </m:r>
          </m:sub>
        </m:sSub>
      </m:oMath>
    </w:p>
    <w:p>
      <w:pPr>
        <w:numPr>
          <w:ilvl w:val="0"/>
          <w:numId w:val="1012"/>
        </w:numPr>
        <w:pStyle w:val="Compact"/>
      </w:pPr>
      <w:r>
        <w:t xml:space="preserve">Débil:</w:t>
      </w:r>
      <w:r>
        <w:t xml:space="preserve"> </w:t>
      </w:r>
      <m:oMath>
        <m:sSub>
          <m:e>
            <m:r>
              <m:t>A</m:t>
            </m:r>
          </m:e>
          <m:sub>
            <m:r>
              <m:t>C</m:t>
            </m:r>
            <m:r>
              <m:t>1</m:t>
            </m:r>
          </m:sub>
        </m:sSub>
        <m:r>
          <m:rPr>
            <m:sty m:val="p"/>
          </m:rPr>
          <m:t>∩</m:t>
        </m:r>
        <m:sSub>
          <m:e>
            <m:r>
              <m:t>A</m:t>
            </m:r>
          </m:e>
          <m:sub>
            <m:r>
              <m:t>C</m:t>
            </m:r>
            <m:r>
              <m:t>2</m:t>
            </m:r>
          </m:sub>
        </m:sSub>
        <m:r>
          <m:rPr>
            <m:sty m:val="p"/>
          </m:rPr>
          <m:t>≠</m:t>
        </m:r>
        <m:r>
          <m:rPr>
            <m:sty m:val="p"/>
          </m:rPr>
          <m:t>∅</m:t>
        </m:r>
      </m:oMath>
    </w:p>
    <w:p>
      <w:pPr>
        <w:numPr>
          <w:ilvl w:val="0"/>
          <w:numId w:val="1012"/>
        </w:numPr>
        <w:pStyle w:val="Compact"/>
      </w:pPr>
      <w:r>
        <w:t xml:space="preserve">Fuerte:</w:t>
      </w:r>
      <w:r>
        <w:t xml:space="preserve"> </w:t>
      </w:r>
      <m:oMath>
        <m:sSub>
          <m:e>
            <m:r>
              <m:t>A</m:t>
            </m:r>
          </m:e>
          <m:sub>
            <m:r>
              <m:t>C</m:t>
            </m:r>
            <m:r>
              <m:t>1</m:t>
            </m:r>
          </m:sub>
        </m:sSub>
        <m:r>
          <m:rPr>
            <m:sty m:val="p"/>
          </m:rPr>
          <m:t>∩</m:t>
        </m:r>
        <m:sSub>
          <m:e>
            <m:r>
              <m:t>A</m:t>
            </m:r>
          </m:e>
          <m:sub>
            <m:r>
              <m:t>C</m:t>
            </m:r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∅</m:t>
        </m:r>
      </m:oMath>
    </w:p>
    <w:bookmarkEnd w:id="31"/>
    <w:bookmarkStart w:id="32" w:name="ejemplo-boiger-y-mesquita"/>
    <w:p>
      <w:pPr>
        <w:pStyle w:val="Heading2"/>
      </w:pPr>
      <w:r>
        <w:t xml:space="preserve">Ejemplo: Boiger y Mesquita</w:t>
      </w:r>
    </w:p>
    <w:p>
      <w:pPr>
        <w:pStyle w:val="FirstParagraph"/>
      </w:pPr>
      <w:r>
        <w:t xml:space="preserve">(Boiger et al., 2018)</w:t>
      </w:r>
    </w:p>
    <w:bookmarkEnd w:id="32"/>
    <w:bookmarkEnd w:id="33"/>
    <w:bookmarkStart w:id="42" w:name="contra-los-repertorios-emocionales"/>
    <w:p>
      <w:pPr>
        <w:pStyle w:val="Heading1"/>
      </w:pPr>
      <w:r>
        <w:t xml:space="preserve">Contra los repertorios emocionales</w:t>
      </w:r>
    </w:p>
    <w:bookmarkStart w:id="34" w:name="individuación-e-identificación"/>
    <w:p>
      <w:pPr>
        <w:pStyle w:val="Heading2"/>
      </w:pPr>
      <w:r>
        <w:t xml:space="preserve">Individuación e identificación</w:t>
      </w:r>
    </w:p>
    <w:p>
      <w:pPr>
        <w:pStyle w:val="FirstParagraph"/>
      </w:pPr>
      <w:r>
        <w:t xml:space="preserve">Una teoría de las emociones ofrece criterios de</w:t>
      </w:r>
      <w:r>
        <w:t xml:space="preserve"> </w:t>
      </w:r>
      <w:r>
        <w:rPr>
          <w:iCs/>
          <w:i/>
        </w:rPr>
        <w:t xml:space="preserve">individuación</w:t>
      </w:r>
      <w:r>
        <w:t xml:space="preserve"> </w:t>
      </w:r>
      <w:r>
        <w:t xml:space="preserve">y de</w:t>
      </w:r>
      <w:r>
        <w:t xml:space="preserve"> </w:t>
      </w:r>
      <w:r>
        <w:rPr>
          <w:iCs/>
          <w:i/>
        </w:rPr>
        <w:t xml:space="preserve">identificación</w:t>
      </w:r>
      <w:r>
        <w:t xml:space="preserve">.</w:t>
      </w:r>
    </w:p>
    <w:p>
      <w:pPr>
        <w:pStyle w:val="DefinitionTerm"/>
      </w:pPr>
      <w:r>
        <w:t xml:space="preserve">Individuación</w:t>
      </w:r>
    </w:p>
    <w:p>
      <w:pPr>
        <w:pStyle w:val="Definition"/>
      </w:pPr>
      <w:r>
        <w:t xml:space="preserve">Condiciones que separan una emoción de otros fenómenos y otras emociones.</w:t>
      </w:r>
    </w:p>
    <w:p>
      <w:pPr>
        <w:pStyle w:val="DefinitionTerm"/>
      </w:pPr>
      <w:r>
        <w:t xml:space="preserve">Identificación</w:t>
      </w:r>
    </w:p>
    <w:p>
      <w:pPr>
        <w:pStyle w:val="Definition"/>
      </w:pPr>
      <w:r>
        <w:t xml:space="preserve">Condiciones para señalar la presencia de una emoción.</w:t>
      </w:r>
    </w:p>
    <w:p>
      <w:pPr>
        <w:pStyle w:val="FirstParagraph"/>
      </w:pPr>
      <w:r>
        <w:t xml:space="preserve">Cada teoría actual provee cada uno de estos criterios.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112"/>
        <w:gridCol w:w="2413"/>
        <w:gridCol w:w="33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Individuación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Patrones neurofisiológicos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Indicadores neuronales o fisiológicos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Teorías evaluativas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Colecciones de componentes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Presencia de varios componentes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Construccionismo psicológico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Actos de construcción 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Presencia de un concepto y un estado afectivo</w:t>
            </w:r>
          </w:p>
        </w:tc>
      </w:tr>
    </w:tbl>
    <w:p>
      <w:pPr>
        <w:pStyle w:val="BodyText"/>
      </w:pPr>
      <w:r>
        <w:t xml:space="preserve">Según estos criterios, podemos clasificar teorías en el espectro anterior:</w:t>
      </w:r>
    </w:p>
    <w:p>
      <w:pPr>
        <w:numPr>
          <w:ilvl w:val="0"/>
          <w:numId w:val="1013"/>
        </w:numPr>
        <w:pStyle w:val="Compact"/>
      </w:pPr>
      <w:r>
        <w:t xml:space="preserve">BET: Univeralista</w:t>
      </w:r>
    </w:p>
    <w:p>
      <w:pPr>
        <w:numPr>
          <w:ilvl w:val="0"/>
          <w:numId w:val="1013"/>
        </w:numPr>
        <w:pStyle w:val="Compact"/>
      </w:pPr>
      <w:r>
        <w:t xml:space="preserve">Teorías evaluativas:</w:t>
      </w:r>
    </w:p>
    <w:p>
      <w:pPr>
        <w:numPr>
          <w:ilvl w:val="1"/>
          <w:numId w:val="1014"/>
        </w:numPr>
        <w:pStyle w:val="Compact"/>
      </w:pPr>
      <w:r>
        <w:t xml:space="preserve">Discretas: Relativista débil</w:t>
      </w:r>
    </w:p>
    <w:p>
      <w:pPr>
        <w:numPr>
          <w:ilvl w:val="1"/>
          <w:numId w:val="1014"/>
        </w:numPr>
        <w:pStyle w:val="Compact"/>
      </w:pPr>
      <w:r>
        <w:t xml:space="preserve">Dimensionales: Relativista débil +1</w:t>
      </w:r>
    </w:p>
    <w:p>
      <w:pPr>
        <w:numPr>
          <w:ilvl w:val="0"/>
          <w:numId w:val="1013"/>
        </w:numPr>
        <w:pStyle w:val="Compact"/>
      </w:pPr>
      <w:r>
        <w:t xml:space="preserve">Construccionismo psicológico: Relativista débil +1</w:t>
      </w:r>
    </w:p>
    <w:bookmarkEnd w:id="34"/>
    <w:bookmarkStart w:id="35" w:name="diferencias-radicales"/>
    <w:p>
      <w:pPr>
        <w:pStyle w:val="Heading2"/>
      </w:pPr>
      <w:r>
        <w:t xml:space="preserve">Diferencias radicales</w:t>
      </w:r>
    </w:p>
    <w:p>
      <w:pPr>
        <w:pStyle w:val="FirstParagraph"/>
      </w:pPr>
      <w:r>
        <w:t xml:space="preserve">La idea de que haya diferencias en repertorios emocionales exige la siguiente situación: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R</m:t>
          </m:r>
          <m:r>
            <m:rPr>
              <m:sty m:val="p"/>
            </m:rPr>
            <m:t>−</m:t>
          </m:r>
          <m:r>
            <m:t>E</m:t>
          </m:r>
          <m:r>
            <m:t>E</m:t>
          </m:r>
          <m:r>
            <m:rPr>
              <m:sty m:val="p"/>
            </m:rPr>
            <m:t>≠</m:t>
          </m:r>
          <m:r>
            <m:rPr>
              <m:sty m:val="p"/>
            </m:rPr>
            <m:t>∅</m:t>
          </m:r>
        </m:oMath>
      </m:oMathPara>
    </w:p>
    <w:p>
      <w:pPr>
        <w:pStyle w:val="FirstParagraph"/>
      </w:pPr>
      <w:r>
        <w:t xml:space="preserve">¿Cómo podría darse esta situación?</w:t>
      </w:r>
    </w:p>
    <w:p>
      <w:pPr>
        <w:numPr>
          <w:ilvl w:val="0"/>
          <w:numId w:val="1015"/>
        </w:numPr>
        <w:pStyle w:val="Compact"/>
      </w:pPr>
      <w:r>
        <w:t xml:space="preserve">Falla en los criterios de individuación</w:t>
      </w:r>
    </w:p>
    <w:p>
      <w:pPr>
        <w:numPr>
          <w:ilvl w:val="1"/>
          <w:numId w:val="1016"/>
        </w:numPr>
        <w:pStyle w:val="Compact"/>
      </w:pPr>
      <w:r>
        <w:t xml:space="preserve">Esperábamos una diferencia cuando no la hay</w:t>
      </w:r>
    </w:p>
    <w:p>
      <w:pPr>
        <w:numPr>
          <w:ilvl w:val="0"/>
          <w:numId w:val="1015"/>
        </w:numPr>
        <w:pStyle w:val="Compact"/>
      </w:pPr>
      <w:r>
        <w:t xml:space="preserve">Falla en los criterios de identificación</w:t>
      </w:r>
    </w:p>
    <w:p>
      <w:pPr>
        <w:numPr>
          <w:ilvl w:val="1"/>
          <w:numId w:val="1017"/>
        </w:numPr>
        <w:pStyle w:val="Compact"/>
      </w:pPr>
      <w:r>
        <w:t xml:space="preserve">No logramos acceder (epistémicamente) a</w:t>
      </w:r>
      <w:r>
        <w:t xml:space="preserve"> </w:t>
      </w:r>
      <m:oMath>
        <m:r>
          <m:t>E</m:t>
        </m:r>
      </m:oMath>
    </w:p>
    <w:bookmarkEnd w:id="35"/>
    <w:bookmarkStart w:id="36" w:name="hipótesis-en-competencia"/>
    <w:p>
      <w:pPr>
        <w:pStyle w:val="Heading2"/>
      </w:pPr>
      <w:r>
        <w:t xml:space="preserve">Hipótesis en competencia</w:t>
      </w:r>
    </w:p>
    <w:p>
      <w:pPr>
        <w:pStyle w:val="FirstParagraph"/>
      </w:pPr>
      <w:r>
        <w:t xml:space="preserve">Tenemos que decidir entre las siguientes hipótesis:</w:t>
      </w:r>
    </w:p>
    <w:p>
      <w:pPr>
        <w:pStyle w:val="DefinitionTerm"/>
      </w:pPr>
      <m:oMath>
        <m:sSub>
          <m:e>
            <m:r>
              <m:t>H</m:t>
            </m:r>
          </m:e>
          <m:sub>
            <m:r>
              <m:t>1</m:t>
            </m:r>
          </m:sub>
        </m:sSub>
      </m:oMath>
    </w:p>
    <w:p>
      <w:pPr>
        <w:pStyle w:val="Definition"/>
      </w:pPr>
      <m:oMath>
        <m:r>
          <m:t>E</m:t>
        </m:r>
      </m:oMath>
      <w:r>
        <w:t xml:space="preserve"> </w:t>
      </w:r>
      <w:r>
        <w:t xml:space="preserve">es una emoción que no entendemos.</w:t>
      </w:r>
    </w:p>
    <w:p>
      <w:pPr>
        <w:pStyle w:val="DefinitionTerm"/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</w:p>
    <w:p>
      <w:pPr>
        <w:pStyle w:val="Definition"/>
      </w:pPr>
      <m:oMath>
        <m:r>
          <m:t>E</m:t>
        </m:r>
      </m:oMath>
      <w:r>
        <w:t xml:space="preserve"> </w:t>
      </w:r>
      <w:r>
        <w:t xml:space="preserve">no es una emoción.</w:t>
      </w:r>
    </w:p>
    <w:p>
      <w:pPr>
        <w:pStyle w:val="FirstParagraph"/>
      </w:pPr>
      <w:r>
        <w:t xml:space="preserve">¿Qué llevaría a decidir entre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 la hipótesis nula?</w:t>
      </w:r>
    </w:p>
    <w:bookmarkEnd w:id="36"/>
    <w:bookmarkStart w:id="37" w:name="subdeterminación-empírica"/>
    <w:p>
      <w:pPr>
        <w:pStyle w:val="Heading2"/>
      </w:pPr>
      <w:r>
        <w:t xml:space="preserve">Subdeterminación empírica</w:t>
      </w:r>
    </w:p>
    <w:p>
      <w:pPr>
        <w:pStyle w:val="FirstParagraph"/>
      </w:pPr>
      <w:r>
        <w:t xml:space="preserve">Esta decisión está</w:t>
      </w:r>
      <w:r>
        <w:t xml:space="preserve"> </w:t>
      </w:r>
      <w:r>
        <w:rPr>
          <w:iCs/>
          <w:i/>
        </w:rPr>
        <w:t xml:space="preserve">subdeterminada por la evidencia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Podemos tener detalles sobre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compatibles con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Información sobre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incompatible con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reinstaura los criterios de individuación e identificación.</w:t>
      </w:r>
    </w:p>
    <w:p>
      <w:pPr>
        <w:pStyle w:val="FirstParagraph"/>
      </w:pPr>
      <w:r>
        <w:t xml:space="preserve">Longino (1990)</w:t>
      </w:r>
      <w:r>
        <w:t xml:space="preserve">: Las decisiones subdeterminadas dependen de suposiciones de trasfondo.</w:t>
      </w:r>
    </w:p>
    <w:p>
      <w:pPr>
        <w:numPr>
          <w:ilvl w:val="0"/>
          <w:numId w:val="1019"/>
        </w:numPr>
        <w:pStyle w:val="Compact"/>
      </w:pPr>
      <w:r>
        <w:t xml:space="preserve">Cuestiones de valor</w:t>
      </w:r>
      <w:r>
        <w:t xml:space="preserve"> </w:t>
      </w:r>
      <w:r>
        <w:t xml:space="preserve">(Ludwig, 2016)</w:t>
      </w:r>
    </w:p>
    <w:p>
      <w:pPr>
        <w:numPr>
          <w:ilvl w:val="0"/>
          <w:numId w:val="1019"/>
        </w:numPr>
        <w:pStyle w:val="Compact"/>
      </w:pPr>
      <w:r>
        <w:t xml:space="preserve">Atrincheramiento</w:t>
      </w:r>
      <w:r>
        <w:t xml:space="preserve"> </w:t>
      </w:r>
      <w:r>
        <w:t xml:space="preserve">(Goodman, 1979/1983; Hacking, 1994)</w:t>
      </w:r>
    </w:p>
    <w:bookmarkEnd w:id="37"/>
    <w:bookmarkStart w:id="38" w:name="consecuencias"/>
    <w:p>
      <w:pPr>
        <w:pStyle w:val="Heading2"/>
      </w:pPr>
      <w:r>
        <w:t xml:space="preserve">Consecuencias</w:t>
      </w:r>
    </w:p>
    <w:p>
      <w:pPr>
        <w:pStyle w:val="FirstParagraph"/>
      </w:pPr>
      <w:r>
        <w:t xml:space="preserve">Esta situación tiende a</w:t>
      </w:r>
      <w:r>
        <w:t xml:space="preserve"> </w:t>
      </w:r>
      <w:r>
        <w:rPr>
          <w:iCs/>
          <w:i/>
        </w:rPr>
        <w:t xml:space="preserve">privilegiar</w:t>
      </w:r>
      <w:r>
        <w:t xml:space="preserve"> </w:t>
      </w:r>
      <w:r>
        <w:t xml:space="preserve">hipótesis atrincheradas, i.e.,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20"/>
        </w:numPr>
        <w:pStyle w:val="Compact"/>
      </w:pPr>
      <w:r>
        <w:t xml:space="preserve">Una observación no lleva al abandono de una teoría.</w:t>
      </w:r>
      <w:r>
        <w:t xml:space="preserve"> </w:t>
      </w:r>
      <w:r>
        <w:t xml:space="preserve">(Quine &amp; Ullian, 1978)</w:t>
      </w:r>
    </w:p>
    <w:p>
      <w:pPr>
        <w:pStyle w:val="FirstParagraph"/>
      </w:pPr>
      <w:r>
        <w:t xml:space="preserve">El encuentro con candidatos a emociones radicalmente diferentes enfrenta el dilema:</w:t>
      </w:r>
    </w:p>
    <w:p>
      <w:pPr>
        <w:numPr>
          <w:ilvl w:val="0"/>
          <w:numId w:val="1021"/>
        </w:numPr>
        <w:pStyle w:val="Compact"/>
      </w:pPr>
      <w:r>
        <w:t xml:space="preserve">Si la decisión está subdeterminada, privilegia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21"/>
        </w:numPr>
        <w:pStyle w:val="Compact"/>
      </w:pPr>
      <w:r>
        <w:t xml:space="preserve">Si hay evidencia para tomar la decisión, los criterios de la teoría se reestablecen, i.e.,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no es radicalmente diferente.</w:t>
      </w:r>
    </w:p>
    <w:bookmarkEnd w:id="38"/>
    <w:bookmarkStart w:id="39" w:name="marcos-preteóricos"/>
    <w:p>
      <w:pPr>
        <w:pStyle w:val="Heading2"/>
      </w:pPr>
      <w:r>
        <w:t xml:space="preserve">Marcos preteóricos</w:t>
      </w:r>
    </w:p>
    <w:p>
      <w:pPr>
        <w:pStyle w:val="FirstParagraph"/>
      </w:pPr>
      <w:r>
        <w:t xml:space="preserve">Una alternativa a este problema es comparar teorías asumiendo un marco conceptual preteórico.</w:t>
      </w:r>
    </w:p>
    <w:p>
      <w:pPr>
        <w:numPr>
          <w:ilvl w:val="0"/>
          <w:numId w:val="1022"/>
        </w:numPr>
        <w:pStyle w:val="Compact"/>
      </w:pPr>
      <w:r>
        <w:t xml:space="preserve">Asumimos conceptos cotidianos de emoción.</w:t>
      </w:r>
    </w:p>
    <w:p>
      <w:pPr>
        <w:numPr>
          <w:ilvl w:val="0"/>
          <w:numId w:val="1022"/>
        </w:numPr>
        <w:pStyle w:val="Compact"/>
      </w:pPr>
      <w:r>
        <w:t xml:space="preserve">Evaluamos la adecuación de distintas teorías a los fenómenos.</w:t>
      </w:r>
    </w:p>
    <w:p>
      <w:pPr>
        <w:pStyle w:val="DefinitionTerm"/>
      </w:pPr>
      <w:r>
        <w:t xml:space="preserve">Problemas</w:t>
      </w:r>
    </w:p>
    <w:p>
      <w:pPr>
        <w:numPr>
          <w:ilvl w:val="0"/>
          <w:numId w:val="1023"/>
        </w:numPr>
        <w:pStyle w:val="Compact"/>
      </w:pPr>
      <w:r>
        <w:t xml:space="preserve">Heterogeneidad</w:t>
      </w:r>
    </w:p>
    <w:p>
      <w:pPr>
        <w:numPr>
          <w:ilvl w:val="0"/>
          <w:numId w:val="1024"/>
        </w:numPr>
        <w:pStyle w:val="Compact"/>
      </w:pPr>
      <w:r>
        <w:t xml:space="preserve">La psicología cotidiana también tiene criterios de individuación e identificación</w:t>
      </w:r>
    </w:p>
    <w:bookmarkEnd w:id="39"/>
    <w:bookmarkStart w:id="40" w:name="el-problema-del-regreso"/>
    <w:p>
      <w:pPr>
        <w:pStyle w:val="Heading2"/>
      </w:pPr>
      <w:r>
        <w:t xml:space="preserve">El problema del regreso</w:t>
      </w:r>
    </w:p>
    <w:p>
      <w:pPr>
        <w:pStyle w:val="FirstParagraph"/>
      </w:pPr>
      <w:r>
        <w:t xml:space="preserve">Esto nos lleva a un regreso al infinito:</w:t>
      </w:r>
    </w:p>
    <w:p>
      <w:pPr>
        <w:numPr>
          <w:ilvl w:val="0"/>
          <w:numId w:val="1025"/>
        </w:numPr>
        <w:pStyle w:val="Compact"/>
      </w:pPr>
      <w:r>
        <w:t xml:space="preserve">Para decidir entre marcos conceptuales, asumismos otros marcos conceptuales.</w:t>
      </w:r>
    </w:p>
    <w:p>
      <w:pPr>
        <w:pStyle w:val="FirstParagraph"/>
      </w:pPr>
      <w:r>
        <w:t xml:space="preserve">Solución:</w:t>
      </w:r>
    </w:p>
    <w:p>
      <w:pPr>
        <w:numPr>
          <w:ilvl w:val="0"/>
          <w:numId w:val="1026"/>
        </w:numPr>
        <w:pStyle w:val="Compact"/>
      </w:pPr>
      <w:r>
        <w:t xml:space="preserve">La decisión se toma con consideraciones externas a la evidencia.</w:t>
      </w:r>
    </w:p>
    <w:p>
      <w:pPr>
        <w:numPr>
          <w:ilvl w:val="0"/>
          <w:numId w:val="1026"/>
        </w:numPr>
        <w:pStyle w:val="Compact"/>
      </w:pPr>
      <w:r>
        <w:t xml:space="preserve">Hay cierto grado necesario de arbitrariedad.</w:t>
      </w:r>
    </w:p>
    <w:bookmarkEnd w:id="40"/>
    <w:bookmarkStart w:id="41" w:name="propuesta-relativismo-moderado"/>
    <w:p>
      <w:pPr>
        <w:pStyle w:val="Heading2"/>
      </w:pPr>
      <w:r>
        <w:t xml:space="preserve">Propuesta: Relativismo moderado</w:t>
      </w:r>
    </w:p>
    <w:p>
      <w:pPr>
        <w:pStyle w:val="FirstParagraph"/>
      </w:pPr>
      <w:r>
        <w:t xml:space="preserve">La decisión de marco conceptual (teórico o preteórico) está subdeterminada.</w:t>
      </w:r>
    </w:p>
    <w:p>
      <w:pPr>
        <w:numPr>
          <w:ilvl w:val="0"/>
          <w:numId w:val="1027"/>
        </w:numPr>
        <w:pStyle w:val="Compact"/>
      </w:pPr>
      <w:r>
        <w:t xml:space="preserve">Una vez decidido el marco, el marco tiene rango de aplicación universal.</w:t>
      </w:r>
    </w:p>
    <w:p>
      <w:pPr>
        <w:pStyle w:val="FirstParagraph"/>
      </w:pPr>
      <w:r>
        <w:t xml:space="preserve">El marco debe decidirse asumiendo un marco preteórico arbitrario.</w:t>
      </w:r>
    </w:p>
    <w:p>
      <w:pPr>
        <w:numPr>
          <w:ilvl w:val="0"/>
          <w:numId w:val="1028"/>
        </w:numPr>
        <w:pStyle w:val="Compact"/>
      </w:pPr>
      <w:r>
        <w:t xml:space="preserve">La ciencia de las emociones es relativa a un marco inicial.</w:t>
      </w:r>
    </w:p>
    <w:p>
      <w:pPr>
        <w:numPr>
          <w:ilvl w:val="0"/>
          <w:numId w:val="1028"/>
        </w:numPr>
        <w:pStyle w:val="Compact"/>
      </w:pPr>
      <w:r>
        <w:t xml:space="preserve">Una vez instaurada, tiene aspiración de</w:t>
      </w:r>
      <w:r>
        <w:t xml:space="preserve"> </w:t>
      </w:r>
      <w:r>
        <w:t xml:space="preserve">“</w:t>
      </w:r>
      <w:r>
        <w:t xml:space="preserve">universalidad</w:t>
      </w:r>
      <w:r>
        <w:t xml:space="preserve">”</w:t>
      </w:r>
      <w:r>
        <w:t xml:space="preserve">.</w:t>
      </w:r>
    </w:p>
    <w:bookmarkEnd w:id="41"/>
    <w:bookmarkEnd w:id="42"/>
    <w:bookmarkStart w:id="46" w:name="objeciones-y-respuestas"/>
    <w:p>
      <w:pPr>
        <w:pStyle w:val="Heading1"/>
      </w:pPr>
      <w:r>
        <w:t xml:space="preserve">Objeciones y respuestas</w:t>
      </w:r>
    </w:p>
    <w:bookmarkStart w:id="43" w:name="es-posible-descrubrir-nuevas-emociones"/>
    <w:p>
      <w:pPr>
        <w:pStyle w:val="Heading2"/>
      </w:pPr>
      <w:r>
        <w:t xml:space="preserve">¿Es posible descrubrir nuevas emociones?</w:t>
      </w:r>
    </w:p>
    <w:p>
      <w:pPr>
        <w:pStyle w:val="BlockText"/>
      </w:pPr>
      <w:r>
        <w:t xml:space="preserve">Una vez instaurada la taxonomía, no tiene sentido pensar en emociones radicalmente diferentes. Por lo tanto, el descubrimiento de nuevas emociones es imposible en principio.</w:t>
      </w:r>
    </w:p>
    <w:p>
      <w:pPr>
        <w:numPr>
          <w:ilvl w:val="0"/>
          <w:numId w:val="1029"/>
        </w:numPr>
        <w:pStyle w:val="Compact"/>
      </w:pPr>
      <w:r>
        <w:t xml:space="preserve">Los criterios teóricos fijan</w:t>
      </w:r>
      <w:r>
        <w:t xml:space="preserve"> </w:t>
      </w:r>
      <w:r>
        <w:rPr>
          <w:iCs/>
          <w:i/>
        </w:rPr>
        <w:t xml:space="preserve">posibilidades lógicas</w:t>
      </w:r>
      <w:r>
        <w:t xml:space="preserve">, pero no cuáles son actuales.</w:t>
      </w:r>
    </w:p>
    <w:p>
      <w:pPr>
        <w:numPr>
          <w:ilvl w:val="0"/>
          <w:numId w:val="1029"/>
        </w:numPr>
        <w:pStyle w:val="Compact"/>
      </w:pPr>
      <w:r>
        <w:t xml:space="preserve">Podemos descubrir fenómenos nuevos dentro de las expectativas de la teoría.</w:t>
      </w:r>
    </w:p>
    <w:p>
      <w:pPr>
        <w:numPr>
          <w:ilvl w:val="0"/>
          <w:numId w:val="1029"/>
        </w:numPr>
        <w:pStyle w:val="Compact"/>
      </w:pPr>
      <w:r>
        <w:t xml:space="preserve">Las novedades se limitan a novedades comprensibles.</w:t>
      </w:r>
    </w:p>
    <w:bookmarkEnd w:id="43"/>
    <w:bookmarkStart w:id="44" w:name="qué-motivaría-el-cambio-conceptual"/>
    <w:p>
      <w:pPr>
        <w:pStyle w:val="Heading2"/>
      </w:pPr>
      <w:r>
        <w:t xml:space="preserve">¿Qué motivaría el cambio conceptual?</w:t>
      </w:r>
    </w:p>
    <w:p>
      <w:pPr>
        <w:pStyle w:val="BlockText"/>
      </w:pPr>
      <w:r>
        <w:t xml:space="preserve">El cambio conceptual parece entonces imposible. Para cualquier excepción a la extensión de un término, le excluimos y mantenemos la taxonomía actual.</w:t>
      </w:r>
    </w:p>
    <w:p>
      <w:pPr>
        <w:numPr>
          <w:ilvl w:val="0"/>
          <w:numId w:val="1030"/>
        </w:numPr>
        <w:pStyle w:val="Compact"/>
      </w:pPr>
      <w:r>
        <w:t xml:space="preserve">El cambio conceptual puede ocurrir, pero ocurre de manera</w:t>
      </w:r>
      <w:r>
        <w:t xml:space="preserve"> </w:t>
      </w:r>
      <w:r>
        <w:rPr>
          <w:iCs/>
          <w:i/>
        </w:rPr>
        <w:t xml:space="preserve">lenta</w:t>
      </w:r>
      <w:r>
        <w:t xml:space="preserve"> </w:t>
      </w:r>
      <w:r>
        <w:t xml:space="preserve">y</w:t>
      </w:r>
      <w:r>
        <w:t xml:space="preserve"> </w:t>
      </w:r>
      <w:r>
        <w:rPr>
          <w:iCs/>
          <w:i/>
        </w:rPr>
        <w:t xml:space="preserve">diacrónica</w:t>
      </w:r>
      <w:r>
        <w:t xml:space="preserve">.</w:t>
      </w:r>
    </w:p>
    <w:p>
      <w:pPr>
        <w:numPr>
          <w:ilvl w:val="0"/>
          <w:numId w:val="1030"/>
        </w:numPr>
        <w:pStyle w:val="Compact"/>
      </w:pPr>
      <w:r>
        <w:t xml:space="preserve">La motivación al cambio conceptual no es cualquier anomalía observada.</w:t>
      </w:r>
    </w:p>
    <w:p>
      <w:pPr>
        <w:numPr>
          <w:ilvl w:val="0"/>
          <w:numId w:val="1030"/>
        </w:numPr>
        <w:pStyle w:val="Compact"/>
      </w:pPr>
      <w:r>
        <w:t xml:space="preserve">La justificación del cambio conceptual sigue motivada dentro de estándares locales.</w:t>
      </w:r>
    </w:p>
    <w:bookmarkEnd w:id="44"/>
    <w:bookmarkStart w:id="45" w:name="peligros-del-relativismo"/>
    <w:p>
      <w:pPr>
        <w:pStyle w:val="Heading2"/>
      </w:pPr>
      <w:r>
        <w:t xml:space="preserve">Peligros del relativismo</w:t>
      </w:r>
    </w:p>
    <w:p>
      <w:pPr>
        <w:pStyle w:val="BlockText"/>
      </w:pPr>
      <w:r>
        <w:t xml:space="preserve">Si una teoría científica es relativa a un marco cultural, no es científica/objetiva y cualquier teoría vale.</w:t>
      </w:r>
    </w:p>
    <w:p>
      <w:pPr>
        <w:numPr>
          <w:ilvl w:val="0"/>
          <w:numId w:val="1031"/>
        </w:numPr>
        <w:pStyle w:val="Compact"/>
      </w:pPr>
      <w:r>
        <w:t xml:space="preserve">Que la decisión esté subdeterminada por la evidencia no implica que no haya criterios de decisión.</w:t>
      </w:r>
    </w:p>
    <w:p>
      <w:pPr>
        <w:numPr>
          <w:ilvl w:val="1"/>
          <w:numId w:val="1032"/>
        </w:numPr>
        <w:pStyle w:val="Compact"/>
      </w:pPr>
      <w:r>
        <w:t xml:space="preserve">Virtudes epistémicas (simplicidad, adecuación empírica)</w:t>
      </w:r>
    </w:p>
    <w:p>
      <w:pPr>
        <w:numPr>
          <w:ilvl w:val="1"/>
          <w:numId w:val="1032"/>
        </w:numPr>
        <w:pStyle w:val="Compact"/>
      </w:pPr>
      <w:r>
        <w:t xml:space="preserve">Virtudes no epistémicas (consideraciones políticas)</w:t>
      </w:r>
    </w:p>
    <w:p>
      <w:pPr>
        <w:numPr>
          <w:ilvl w:val="0"/>
          <w:numId w:val="1031"/>
        </w:numPr>
        <w:pStyle w:val="Compact"/>
      </w:pPr>
      <w:r>
        <w:t xml:space="preserve">Aceptemos cierto grado de relatividad para teorías ancladas en conceptos cotidianos.</w:t>
      </w:r>
    </w:p>
    <w:p>
      <w:pPr>
        <w:numPr>
          <w:ilvl w:val="1"/>
          <w:numId w:val="1033"/>
        </w:numPr>
        <w:pStyle w:val="Compact"/>
      </w:pPr>
      <w:r>
        <w:t xml:space="preserve">No aceptarla puede incurrir en</w:t>
      </w:r>
      <w:r>
        <w:t xml:space="preserve"> </w:t>
      </w:r>
      <w:r>
        <w:rPr>
          <w:iCs/>
          <w:i/>
        </w:rPr>
        <w:t xml:space="preserve">imperialismo cultural</w:t>
      </w:r>
      <w:r>
        <w:t xml:space="preserve"> </w:t>
      </w:r>
      <w:r>
        <w:t xml:space="preserve">(Young, 1990)</w:t>
      </w:r>
    </w:p>
    <w:bookmarkEnd w:id="45"/>
    <w:bookmarkEnd w:id="46"/>
    <w:bookmarkStart w:id="64" w:name="referencias"/>
    <w:p>
      <w:pPr>
        <w:pStyle w:val="Heading1"/>
      </w:pPr>
      <w:r>
        <w:t xml:space="preserve">Referencias</w:t>
      </w:r>
    </w:p>
    <w:bookmarkStart w:id="63" w:name="refs"/>
    <w:bookmarkStart w:id="48" w:name="ref-Boiger2018"/>
    <w:p>
      <w:pPr>
        <w:pStyle w:val="Bibliography"/>
      </w:pPr>
      <w:r>
        <w:t xml:space="preserve">Boiger, M., Ceulemans, E., De Leersnyder, J., Uchida, Y., Norasakkunkit, V., &amp; Mesquita, B. (2018). Beyond Essentialism:</w:t>
      </w:r>
      <w:r>
        <w:t xml:space="preserve"> </w:t>
      </w:r>
      <w:r>
        <w:t xml:space="preserve">Cultural</w:t>
      </w:r>
      <w:r>
        <w:t xml:space="preserve"> </w:t>
      </w:r>
      <w:r>
        <w:t xml:space="preserve">Differences in Emotions Revisited.</w:t>
      </w:r>
      <w:r>
        <w:t xml:space="preserve"> </w:t>
      </w:r>
      <w:r>
        <w:rPr>
          <w:iCs/>
          <w:i/>
        </w:rPr>
        <w:t xml:space="preserve">Emotion</w:t>
      </w:r>
      <w:r>
        <w:t xml:space="preserve">,</w:t>
      </w:r>
      <w:r>
        <w:t xml:space="preserve"> </w:t>
      </w:r>
      <w:r>
        <w:rPr>
          <w:iCs/>
          <w:i/>
        </w:rPr>
        <w:t xml:space="preserve">18</w:t>
      </w:r>
      <w:r>
        <w:t xml:space="preserve">(8), 1142-1162.</w:t>
      </w:r>
      <w:r>
        <w:t xml:space="preserve"> </w:t>
      </w:r>
      <w:hyperlink r:id="rId47">
        <w:r>
          <w:rPr>
            <w:rStyle w:val="Hyperlink"/>
          </w:rPr>
          <w:t xml:space="preserve">https://doi.org/10.1037/emo0000390</w:t>
        </w:r>
      </w:hyperlink>
    </w:p>
    <w:bookmarkEnd w:id="48"/>
    <w:bookmarkStart w:id="50" w:name="ref-DeLeersnyder2017"/>
    <w:p>
      <w:pPr>
        <w:pStyle w:val="Bibliography"/>
      </w:pPr>
      <w:r>
        <w:t xml:space="preserve">De Leersnyder, J. (2017). Emotional Acculturation: A First Review.</w:t>
      </w:r>
      <w:r>
        <w:t xml:space="preserve"> </w:t>
      </w:r>
      <w:r>
        <w:rPr>
          <w:iCs/>
          <w:i/>
        </w:rPr>
        <w:t xml:space="preserve">Current Opinion in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17</w:t>
      </w:r>
      <w:r>
        <w:t xml:space="preserve">, 67-73.</w:t>
      </w:r>
      <w:r>
        <w:t xml:space="preserve"> </w:t>
      </w:r>
      <w:hyperlink r:id="rId49">
        <w:r>
          <w:rPr>
            <w:rStyle w:val="Hyperlink"/>
          </w:rPr>
          <w:t xml:space="preserve">https://doi.org/10.1016/j.copsyc.2017.06.007</w:t>
        </w:r>
      </w:hyperlink>
    </w:p>
    <w:bookmarkEnd w:id="50"/>
    <w:bookmarkStart w:id="51" w:name="ref-Goodman1983"/>
    <w:p>
      <w:pPr>
        <w:pStyle w:val="Bibliography"/>
      </w:pPr>
      <w:r>
        <w:t xml:space="preserve">Goodman, N. (1983).</w:t>
      </w:r>
      <w:r>
        <w:t xml:space="preserve"> </w:t>
      </w:r>
      <w:r>
        <w:rPr>
          <w:iCs/>
          <w:i/>
        </w:rPr>
        <w:t xml:space="preserve">Fact,</w:t>
      </w:r>
      <w:r>
        <w:rPr>
          <w:iCs/>
          <w:i/>
        </w:rPr>
        <w:t xml:space="preserve"> </w:t>
      </w:r>
      <w:r>
        <w:rPr>
          <w:iCs/>
          <w:i/>
        </w:rPr>
        <w:t xml:space="preserve">Fiction</w:t>
      </w:r>
      <w:r>
        <w:rPr>
          <w:iCs/>
          <w:i/>
        </w:rPr>
        <w:t xml:space="preserve">, and</w:t>
      </w:r>
      <w:r>
        <w:rPr>
          <w:iCs/>
          <w:i/>
        </w:rPr>
        <w:t xml:space="preserve"> </w:t>
      </w:r>
      <w:r>
        <w:rPr>
          <w:iCs/>
          <w:i/>
        </w:rPr>
        <w:t xml:space="preserve">Forecast</w:t>
      </w:r>
      <w:r>
        <w:t xml:space="preserve"> </w:t>
      </w:r>
      <w:r>
        <w:t xml:space="preserve">(Fourth).</w:t>
      </w:r>
      <w:r>
        <w:t xml:space="preserve"> </w:t>
      </w:r>
      <w:r>
        <w:t xml:space="preserve">Harvard University Press</w:t>
      </w:r>
      <w:r>
        <w:t xml:space="preserve">. (Original work published 1979)</w:t>
      </w:r>
    </w:p>
    <w:bookmarkEnd w:id="51"/>
    <w:bookmarkStart w:id="52" w:name="ref-Hacking1994"/>
    <w:p>
      <w:pPr>
        <w:pStyle w:val="Bibliography"/>
      </w:pPr>
      <w:r>
        <w:t xml:space="preserve">Hacking, I. (1994). Entrenchment. En D. F. Stalker (Ed.),</w:t>
      </w:r>
      <w:r>
        <w:t xml:space="preserve"> </w:t>
      </w:r>
      <w:r>
        <w:rPr>
          <w:iCs/>
          <w:i/>
        </w:rPr>
        <w:t xml:space="preserve">Grue! The New Riddle of Induction</w:t>
      </w:r>
      <w:r>
        <w:t xml:space="preserve">.</w:t>
      </w:r>
      <w:r>
        <w:t xml:space="preserve"> </w:t>
      </w:r>
      <w:r>
        <w:t xml:space="preserve">Open Court</w:t>
      </w:r>
      <w:r>
        <w:t xml:space="preserve">.</w:t>
      </w:r>
    </w:p>
    <w:bookmarkEnd w:id="52"/>
    <w:bookmarkStart w:id="54" w:name="ref-Lim2016"/>
    <w:p>
      <w:pPr>
        <w:pStyle w:val="Bibliography"/>
      </w:pPr>
      <w:r>
        <w:t xml:space="preserve">Lim, N. (2016). Cultural Differences in Emotion: Differences in Emotional Arousal Level between the</w:t>
      </w:r>
      <w:r>
        <w:t xml:space="preserve"> </w:t>
      </w:r>
      <w:r>
        <w:t xml:space="preserve">East</w:t>
      </w:r>
      <w:r>
        <w:t xml:space="preserve"> </w:t>
      </w:r>
      <w:r>
        <w:t xml:space="preserve">and the</w:t>
      </w:r>
      <w:r>
        <w:t xml:space="preserve"> </w:t>
      </w:r>
      <w:r>
        <w:t xml:space="preserve">West</w:t>
      </w:r>
      <w:r>
        <w:t xml:space="preserve">.</w:t>
      </w:r>
      <w:r>
        <w:t xml:space="preserve"> </w:t>
      </w:r>
      <w:r>
        <w:rPr>
          <w:iCs/>
          <w:i/>
        </w:rPr>
        <w:t xml:space="preserve">Integrative Medicine Research</w:t>
      </w:r>
      <w:r>
        <w:t xml:space="preserve">,</w:t>
      </w:r>
      <w:r>
        <w:t xml:space="preserve"> </w:t>
      </w:r>
      <w:r>
        <w:rPr>
          <w:iCs/>
          <w:i/>
        </w:rPr>
        <w:t xml:space="preserve">5</w:t>
      </w:r>
      <w:r>
        <w:t xml:space="preserve">(2), 105-109.</w:t>
      </w:r>
      <w:r>
        <w:t xml:space="preserve"> </w:t>
      </w:r>
      <w:hyperlink r:id="rId53">
        <w:r>
          <w:rPr>
            <w:rStyle w:val="Hyperlink"/>
          </w:rPr>
          <w:t xml:space="preserve">https://doi.org/10.1016/j.imr.2016.03.004</w:t>
        </w:r>
      </w:hyperlink>
    </w:p>
    <w:bookmarkEnd w:id="54"/>
    <w:bookmarkStart w:id="55" w:name="ref-Longino1990"/>
    <w:p>
      <w:pPr>
        <w:pStyle w:val="Bibliography"/>
      </w:pPr>
      <w:r>
        <w:t xml:space="preserve">Longino, H. E. (1990).</w:t>
      </w:r>
      <w:r>
        <w:t xml:space="preserve"> </w:t>
      </w:r>
      <w:r>
        <w:rPr>
          <w:iCs/>
          <w:i/>
        </w:rPr>
        <w:t xml:space="preserve">Science as Social Knowledge: Values and Objectivity in Scientific Inquiry</w:t>
      </w:r>
      <w:r>
        <w:t xml:space="preserve">.</w:t>
      </w:r>
      <w:r>
        <w:t xml:space="preserve"> </w:t>
      </w:r>
      <w:r>
        <w:t xml:space="preserve">Princeton University Press</w:t>
      </w:r>
      <w:r>
        <w:t xml:space="preserve">.</w:t>
      </w:r>
    </w:p>
    <w:bookmarkEnd w:id="55"/>
    <w:bookmarkStart w:id="57" w:name="ref-Ludwig2016"/>
    <w:p>
      <w:pPr>
        <w:pStyle w:val="Bibliography"/>
      </w:pPr>
      <w:r>
        <w:t xml:space="preserve">Ludwig, D. (2016). Ontological</w:t>
      </w:r>
      <w:r>
        <w:t xml:space="preserve"> </w:t>
      </w:r>
      <w:r>
        <w:t xml:space="preserve">Choices</w:t>
      </w:r>
      <w:r>
        <w:t xml:space="preserve"> </w:t>
      </w:r>
      <w:r>
        <w:t xml:space="preserve">and the</w:t>
      </w:r>
      <w:r>
        <w:t xml:space="preserve"> </w:t>
      </w:r>
      <w:r>
        <w:t xml:space="preserve">Value-Free Ideal</w:t>
      </w:r>
      <w:r>
        <w:t xml:space="preserve">.</w:t>
      </w:r>
      <w:r>
        <w:t xml:space="preserve"> </w:t>
      </w:r>
      <w:r>
        <w:rPr>
          <w:iCs/>
          <w:i/>
        </w:rPr>
        <w:t xml:space="preserve">Erkenntnis</w:t>
      </w:r>
      <w:r>
        <w:t xml:space="preserve">,</w:t>
      </w:r>
      <w:r>
        <w:t xml:space="preserve"> </w:t>
      </w:r>
      <w:r>
        <w:rPr>
          <w:iCs/>
          <w:i/>
        </w:rPr>
        <w:t xml:space="preserve">81</w:t>
      </w:r>
      <w:r>
        <w:t xml:space="preserve">, 1253-1272.</w:t>
      </w:r>
      <w:r>
        <w:t xml:space="preserve"> </w:t>
      </w:r>
      <w:hyperlink r:id="rId56">
        <w:r>
          <w:rPr>
            <w:rStyle w:val="Hyperlink"/>
          </w:rPr>
          <w:t xml:space="preserve">https://doi.org/10.1007/s10670-015-9793-3</w:t>
        </w:r>
      </w:hyperlink>
    </w:p>
    <w:bookmarkEnd w:id="57"/>
    <w:bookmarkStart w:id="58" w:name="ref-Lutz1988"/>
    <w:p>
      <w:pPr>
        <w:pStyle w:val="Bibliography"/>
      </w:pPr>
      <w:r>
        <w:t xml:space="preserve">Lutz, C. (1988).</w:t>
      </w:r>
      <w:r>
        <w:t xml:space="preserve"> </w:t>
      </w:r>
      <w:r>
        <w:rPr>
          <w:iCs/>
          <w:i/>
        </w:rPr>
        <w:t xml:space="preserve">Unnatural Emotions: Everyday Sentiments on a</w:t>
      </w:r>
      <w:r>
        <w:rPr>
          <w:iCs/>
          <w:i/>
        </w:rPr>
        <w:t xml:space="preserve"> </w:t>
      </w:r>
      <w:r>
        <w:rPr>
          <w:iCs/>
          <w:i/>
        </w:rPr>
        <w:t xml:space="preserve">Micronesian</w:t>
      </w:r>
      <w:r>
        <w:rPr>
          <w:iCs/>
          <w:i/>
        </w:rPr>
        <w:t xml:space="preserve"> </w:t>
      </w:r>
      <w:r>
        <w:rPr>
          <w:iCs/>
          <w:i/>
        </w:rPr>
        <w:t xml:space="preserve">Atoll &amp; Their Challenge to</w:t>
      </w:r>
      <w:r>
        <w:rPr>
          <w:iCs/>
          <w:i/>
        </w:rPr>
        <w:t xml:space="preserve"> </w:t>
      </w:r>
      <w:r>
        <w:rPr>
          <w:iCs/>
          <w:i/>
        </w:rPr>
        <w:t xml:space="preserve">Western</w:t>
      </w:r>
      <w:r>
        <w:rPr>
          <w:iCs/>
          <w:i/>
        </w:rPr>
        <w:t xml:space="preserve"> </w:t>
      </w:r>
      <w:r>
        <w:rPr>
          <w:iCs/>
          <w:i/>
        </w:rPr>
        <w:t xml:space="preserve">Theory</w:t>
      </w:r>
      <w:r>
        <w:t xml:space="preserve">.</w:t>
      </w:r>
      <w:r>
        <w:t xml:space="preserve"> </w:t>
      </w:r>
      <w:r>
        <w:t xml:space="preserve">University of Chicago Press</w:t>
      </w:r>
      <w:r>
        <w:t xml:space="preserve">.</w:t>
      </w:r>
    </w:p>
    <w:bookmarkEnd w:id="58"/>
    <w:bookmarkStart w:id="59" w:name="ref-Quine1978"/>
    <w:p>
      <w:pPr>
        <w:pStyle w:val="Bibliography"/>
      </w:pPr>
      <w:r>
        <w:t xml:space="preserve">Quine, W. V. O., &amp; Ullian, J. S. (1978).</w:t>
      </w:r>
      <w:r>
        <w:t xml:space="preserve"> </w:t>
      </w:r>
      <w:r>
        <w:rPr>
          <w:iCs/>
          <w:i/>
        </w:rPr>
        <w:t xml:space="preserve">The Web of Belief</w:t>
      </w:r>
      <w:r>
        <w:t xml:space="preserve"> </w:t>
      </w:r>
      <w:r>
        <w:t xml:space="preserve">(2nd ed).</w:t>
      </w:r>
      <w:r>
        <w:t xml:space="preserve"> </w:t>
      </w:r>
      <w:r>
        <w:t xml:space="preserve">Random House</w:t>
      </w:r>
      <w:r>
        <w:t xml:space="preserve">.</w:t>
      </w:r>
    </w:p>
    <w:bookmarkEnd w:id="59"/>
    <w:bookmarkStart w:id="61" w:name="ref-Uchida2009"/>
    <w:p>
      <w:pPr>
        <w:pStyle w:val="Bibliography"/>
      </w:pPr>
      <w:r>
        <w:t xml:space="preserve">Uchida, Y., &amp; Kitayama, S. (2009). Happiness and</w:t>
      </w:r>
      <w:r>
        <w:t xml:space="preserve"> </w:t>
      </w:r>
      <w:r>
        <w:t xml:space="preserve">Unhappiness</w:t>
      </w:r>
      <w:r>
        <w:t xml:space="preserve"> </w:t>
      </w:r>
      <w:r>
        <w:t xml:space="preserve">in</w:t>
      </w:r>
      <w:r>
        <w:t xml:space="preserve"> </w:t>
      </w:r>
      <w:r>
        <w:t xml:space="preserve">East</w:t>
      </w:r>
      <w:r>
        <w:t xml:space="preserve"> </w:t>
      </w:r>
      <w:r>
        <w:t xml:space="preserve">and</w:t>
      </w:r>
      <w:r>
        <w:t xml:space="preserve"> </w:t>
      </w:r>
      <w:r>
        <w:t xml:space="preserve">West</w:t>
      </w:r>
      <w:r>
        <w:t xml:space="preserve">:</w:t>
      </w:r>
      <w:r>
        <w:t xml:space="preserve"> </w:t>
      </w:r>
      <w:r>
        <w:t xml:space="preserve">Themes</w:t>
      </w:r>
      <w:r>
        <w:t xml:space="preserve"> </w:t>
      </w:r>
      <w:r>
        <w:t xml:space="preserve">and</w:t>
      </w:r>
      <w:r>
        <w:t xml:space="preserve"> </w:t>
      </w:r>
      <w:r>
        <w:t xml:space="preserve">Variations</w:t>
      </w:r>
      <w:r>
        <w:t xml:space="preserve">.</w:t>
      </w:r>
      <w:r>
        <w:t xml:space="preserve"> </w:t>
      </w:r>
      <w:r>
        <w:rPr>
          <w:iCs/>
          <w:i/>
        </w:rPr>
        <w:t xml:space="preserve">Emotion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(4), 441-456.</w:t>
      </w:r>
      <w:r>
        <w:t xml:space="preserve"> </w:t>
      </w:r>
      <w:hyperlink r:id="rId60">
        <w:r>
          <w:rPr>
            <w:rStyle w:val="Hyperlink"/>
          </w:rPr>
          <w:t xml:space="preserve">https://doi.org/10.1037/a0015634</w:t>
        </w:r>
      </w:hyperlink>
    </w:p>
    <w:bookmarkEnd w:id="61"/>
    <w:bookmarkStart w:id="62" w:name="ref-Young1990"/>
    <w:p>
      <w:pPr>
        <w:pStyle w:val="Bibliography"/>
      </w:pPr>
      <w:r>
        <w:t xml:space="preserve">Young, I. M. (1990).</w:t>
      </w:r>
      <w:r>
        <w:t xml:space="preserve"> </w:t>
      </w:r>
      <w:r>
        <w:rPr>
          <w:iCs/>
          <w:i/>
        </w:rPr>
        <w:t xml:space="preserve">Justice and the Politics of Difference</w:t>
      </w:r>
      <w:r>
        <w:t xml:space="preserve">.</w:t>
      </w:r>
      <w:r>
        <w:t xml:space="preserve"> </w:t>
      </w:r>
      <w:r>
        <w:t xml:space="preserve">Princeton University Press</w:t>
      </w:r>
      <w:r>
        <w:t xml:space="preserve">.</w:t>
      </w:r>
    </w:p>
    <w:bookmarkEnd w:id="62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6" Target="https://doi.org/10.1007/s10670-015-9793-3" TargetMode="External" /><Relationship Type="http://schemas.openxmlformats.org/officeDocument/2006/relationships/hyperlink" Id="rId49" Target="https://doi.org/10.1016/j.copsyc.2017.06.007" TargetMode="External" /><Relationship Type="http://schemas.openxmlformats.org/officeDocument/2006/relationships/hyperlink" Id="rId53" Target="https://doi.org/10.1016/j.imr.2016.03.004" TargetMode="External" /><Relationship Type="http://schemas.openxmlformats.org/officeDocument/2006/relationships/hyperlink" Id="rId60" Target="https://doi.org/10.1037/a0015634" TargetMode="External" /><Relationship Type="http://schemas.openxmlformats.org/officeDocument/2006/relationships/hyperlink" Id="rId47" Target="https://doi.org/10.1037/emo000039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doi.org/10.1007/s10670-015-9793-3" TargetMode="External" /><Relationship Type="http://schemas.openxmlformats.org/officeDocument/2006/relationships/hyperlink" Id="rId49" Target="https://doi.org/10.1016/j.copsyc.2017.06.007" TargetMode="External" /><Relationship Type="http://schemas.openxmlformats.org/officeDocument/2006/relationships/hyperlink" Id="rId53" Target="https://doi.org/10.1016/j.imr.2016.03.004" TargetMode="External" /><Relationship Type="http://schemas.openxmlformats.org/officeDocument/2006/relationships/hyperlink" Id="rId60" Target="https://doi.org/10.1037/a0015634" TargetMode="External" /><Relationship Type="http://schemas.openxmlformats.org/officeDocument/2006/relationships/hyperlink" Id="rId47" Target="https://doi.org/10.1037/emo000039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Hipótesis en torno a la variabilidad cultural de las emociones</dc:title>
  <dc:creator>Juan R. Loaiza</dc:creator>
  <dc:language>es</dc:language>
  <cp:keywords/>
  <dcterms:created xsi:type="dcterms:W3CDTF">2023-05-18T14:44:10Z</dcterms:created>
  <dcterms:modified xsi:type="dcterms:W3CDTF">2023-05-18T14:44:10Z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presentacion.bib</vt:lpwstr>
  </property>
  <property fmtid="{D5CDD505-2E9C-101B-9397-08002B2CF9AE}" pid="3" name="csl">
    <vt:lpwstr>/home/juanrloaiza/.zotero-data/styles/apa.csl</vt:lpwstr>
  </property>
</Properties>
</file>