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of the </w:t>
      </w:r>
      <w:r w:rsidDel="00000000" w:rsidR="00000000" w:rsidRPr="00000000">
        <w:rPr>
          <w:rFonts w:ascii="Google Sans" w:cs="Google Sans" w:eastAsia="Google Sans" w:hAnsi="Google Sans"/>
          <w:b w:val="1"/>
          <w:bCs w:val="1"/>
          <w:color w:val="1f1f1f"/>
          <w:rtl w:val="0"/>
        </w:rPr>
        <w:t xml:space="preserve">Internal Manual</w:t>
      </w:r>
      <w:r w:rsidDel="00000000" w:rsidR="00000000" w:rsidRPr="00000000">
        <w:rPr>
          <w:rFonts w:ascii="Google Sans" w:cs="Google Sans" w:eastAsia="Google Sans" w:hAnsi="Google Sans"/>
          <w:color w:val="1f1f1f"/>
          <w:rtl w:val="0"/>
        </w:rPr>
        <w:t xml:space="preserve"> is the "Source of Truth" for your codebase. It ensures that even if you take a break for two weeks, you can come back and understand exactly where everything lives and how it fits together.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using a </w:t>
      </w:r>
      <w:r w:rsidDel="00000000" w:rsidR="00000000" w:rsidRPr="00000000">
        <w:rPr>
          <w:rFonts w:ascii="Google Sans" w:cs="Google Sans" w:eastAsia="Google Sans" w:hAnsi="Google Sans"/>
          <w:b w:val="1"/>
          <w:bCs w:val="1"/>
          <w:color w:val="1f1f1f"/>
          <w:rtl w:val="0"/>
        </w:rPr>
        <w:t xml:space="preserve">Monorepo</w:t>
      </w:r>
      <w:r w:rsidDel="00000000" w:rsidR="00000000" w:rsidRPr="00000000">
        <w:rPr>
          <w:rFonts w:ascii="Google Sans" w:cs="Google Sans" w:eastAsia="Google Sans" w:hAnsi="Google Sans"/>
          <w:color w:val="1f1f1f"/>
          <w:rtl w:val="0"/>
        </w:rPr>
        <w:t xml:space="preserve">, you are treating your code like a set of Lego bricks. Each piece is independent, making it much harder to create "spaghetti code" that eventually leads to technical debt.</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Internal Manual: Section 1.2 — Technical Architecture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The Monorepo Structure (pnpm + Turborepo)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use a workspace-based approach to separate the "Engine" (Logic) from the "Skin" (UI).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/document-flow-suite</w:t>
        <w:br w:type="textWrapping"/>
        <w:t xml:space="preserve">├── /apps</w:t>
        <w:br w:type="textWrapping"/>
        <w:t xml:space="preserve">│   ├── /manual          &lt;-- [Starlight] The External Manual you just drafted</w:t>
        <w:br w:type="textWrapping"/>
        <w:t xml:space="preserve">│   └── /utility-v1      &lt;-- [Vite + TS] The Internal Employee Tool (The App)</w:t>
        <w:br w:type="textWrapping"/>
        <w:t xml:space="preserve">├── /packages</w:t>
        <w:br w:type="textWrapping"/>
        <w:t xml:space="preserve">│   ├── /pdf-engine      &lt;-- [Pure TS] The "Agnostic Pipeline" logic (Zero UI)</w:t>
        <w:br w:type="textWrapping"/>
        <w:t xml:space="preserve">│   ├── /ui-library      &lt;-- [Lit] The draggable tabletop, buttons, and icons</w:t>
        <w:br w:type="textWrapping"/>
        <w:t xml:space="preserve">│   └── /shared-configs  &lt;-- ESLint, Prettier, and TypeScript base rules</w:t>
        <w:br w:type="textWrapping"/>
        <w:t xml:space="preserve">├── turbo.json           &lt;-- Build pipeline orchestration</w:t>
        <w:br w:type="textWrapping"/>
        <w:t xml:space="preserve">└── pnpm-workspace.yaml  &lt;-- Defines the package boundaries</w:t>
        <w:br w:type="textWrapping"/>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The "Agnostic Pipeline" Flow (Internal Logic)</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Version 1.0 is stable, we follow a strict data flow. No raw files should ever touch the "Stapler" (PDF Generator) directly. They must go through the </w:t>
      </w:r>
      <w:r w:rsidDel="00000000" w:rsidR="00000000" w:rsidRPr="00000000">
        <w:rPr>
          <w:rFonts w:ascii="Google Sans" w:cs="Google Sans" w:eastAsia="Google Sans" w:hAnsi="Google Sans"/>
          <w:b w:val="1"/>
          <w:bCs w:val="1"/>
          <w:color w:val="1f1f1f"/>
          <w:rtl w:val="0"/>
        </w:rPr>
        <w:t xml:space="preserve">Normalizer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Ingestion:</w:t>
      </w:r>
      <w:r w:rsidDel="00000000" w:rsidR="00000000" w:rsidRPr="00000000">
        <w:rPr>
          <w:rFonts w:ascii="Google Sans" w:cs="Google Sans" w:eastAsia="Google Sans" w:hAnsi="Google Sans"/>
          <w:color w:val="1f1f1f"/>
          <w:rtl w:val="0"/>
        </w:rPr>
        <w:t xml:space="preserve"> User drops a file (HEIC, TIFF, PNG, etc.).</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Normalization:</w:t>
      </w:r>
      <w:r w:rsidDel="00000000" w:rsidR="00000000" w:rsidRPr="00000000">
        <w:rPr>
          <w:rFonts w:ascii="Google Sans" w:cs="Google Sans" w:eastAsia="Google Sans" w:hAnsi="Google Sans"/>
          <w:color w:val="1f1f1f"/>
          <w:rtl w:val="0"/>
        </w:rPr>
        <w:t xml:space="preserve"> A Worker thread converts the file into a </w:t>
      </w:r>
      <w:r w:rsidDel="00000000" w:rsidR="00000000" w:rsidRPr="00000000">
        <w:rPr>
          <w:rFonts w:ascii="Google Sans" w:cs="Google Sans" w:eastAsia="Google Sans" w:hAnsi="Google Sans"/>
          <w:b w:val="1"/>
          <w:bCs w:val="1"/>
          <w:color w:val="1f1f1f"/>
          <w:rtl w:val="0"/>
        </w:rPr>
        <w:t xml:space="preserve">standardized Bitmap/Canvas object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State:</w:t>
      </w:r>
      <w:r w:rsidDel="00000000" w:rsidR="00000000" w:rsidRPr="00000000">
        <w:rPr>
          <w:rFonts w:ascii="Google Sans" w:cs="Google Sans" w:eastAsia="Google Sans" w:hAnsi="Google Sans"/>
          <w:color w:val="1f1f1f"/>
          <w:rtl w:val="0"/>
        </w:rPr>
        <w:t xml:space="preserve"> The app stores a list of these objects in the "Tabletop" state.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Transformation:</w:t>
      </w:r>
      <w:r w:rsidDel="00000000" w:rsidR="00000000" w:rsidRPr="00000000">
        <w:rPr>
          <w:rFonts w:ascii="Google Sans" w:cs="Google Sans" w:eastAsia="Google Sans" w:hAnsi="Google Sans"/>
          <w:color w:val="1f1f1f"/>
          <w:rtl w:val="0"/>
        </w:rPr>
        <w:t xml:space="preserve"> Any user action (Rotate/Reorder) updates the metadata of the object in the state.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Composition:</w:t>
      </w:r>
      <w:r w:rsidDel="00000000" w:rsidR="00000000" w:rsidRPr="00000000">
        <w:rPr>
          <w:rFonts w:ascii="Google Sans" w:cs="Google Sans" w:eastAsia="Google Sans" w:hAnsi="Google Sans"/>
          <w:color w:val="1f1f1f"/>
          <w:rtl w:val="0"/>
        </w:rPr>
        <w:t xml:space="preserve"> On export, the pdf-engine takes the objects, applies the transformations, and "paints" them into the final PDF.</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Dependency Guardrails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keep the project "Completion-Proof," we strictly limit the libraries we use. If a library is added, it must be documented here.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PDF Generation:</w:t>
      </w:r>
      <w:r w:rsidDel="00000000" w:rsidR="00000000" w:rsidRPr="00000000">
        <w:rPr>
          <w:rFonts w:ascii="Google Sans" w:cs="Google Sans" w:eastAsia="Google Sans" w:hAnsi="Google Sans"/>
          <w:color w:val="1f1f1f"/>
          <w:rtl w:val="0"/>
        </w:rPr>
        <w:t xml:space="preserve"> pdf-lib (Low-level, client-side manipulation).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Image Handling:</w:t>
      </w:r>
      <w:r w:rsidDel="00000000" w:rsidR="00000000" w:rsidRPr="00000000">
        <w:rPr>
          <w:rFonts w:ascii="Google Sans" w:cs="Google Sans" w:eastAsia="Google Sans" w:hAnsi="Google Sans"/>
          <w:color w:val="1f1f1f"/>
          <w:rtl w:val="0"/>
        </w:rPr>
        <w:t xml:space="preserve"> heic2any (for Apple formats) and canvas API (for native browser scaling).</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UI Framework:</w:t>
      </w:r>
      <w:r w:rsidDel="00000000" w:rsidR="00000000" w:rsidRPr="00000000">
        <w:rPr>
          <w:rFonts w:ascii="Google Sans" w:cs="Google Sans" w:eastAsia="Google Sans" w:hAnsi="Google Sans"/>
          <w:color w:val="1f1f1f"/>
          <w:rtl w:val="0"/>
        </w:rPr>
        <w:t xml:space="preserve"> Lit (to ensure the components can be moved to any framework in Phase 2).</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Technical "Debt" Log (The "Do Not Fix Yet" List)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reach the finish line, we are intentionally allowing the following "Controlled Debt" in v1.0:</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 State Only:</w:t>
      </w:r>
      <w:r w:rsidDel="00000000" w:rsidR="00000000" w:rsidRPr="00000000">
        <w:rPr>
          <w:rFonts w:ascii="Google Sans" w:cs="Google Sans" w:eastAsia="Google Sans" w:hAnsi="Google Sans"/>
          <w:color w:val="1f1f1f"/>
          <w:rtl w:val="0"/>
        </w:rPr>
        <w:t xml:space="preserve"> If the user refreshes the page, they lose their progress. (Fix in Phase 2 with Supabase/LocalDB).</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Synchronous Processing:</w:t>
      </w:r>
      <w:r w:rsidDel="00000000" w:rsidR="00000000" w:rsidRPr="00000000">
        <w:rPr>
          <w:rFonts w:ascii="Google Sans" w:cs="Google Sans" w:eastAsia="Google Sans" w:hAnsi="Google Sans"/>
          <w:color w:val="1f1f1f"/>
          <w:rtl w:val="0"/>
        </w:rPr>
        <w:t xml:space="preserve"> We will start with a single-thread model. If 50+ images cause lag, we move to Web Workers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after the first successful demo.</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Minimalist Styling:</w:t>
      </w:r>
      <w:r w:rsidDel="00000000" w:rsidR="00000000" w:rsidRPr="00000000">
        <w:rPr>
          <w:rFonts w:ascii="Google Sans" w:cs="Google Sans" w:eastAsia="Google Sans" w:hAnsi="Google Sans"/>
          <w:color w:val="1f1f1f"/>
          <w:rtl w:val="0"/>
        </w:rPr>
        <w:t xml:space="preserve"> Use standard system fonts and a CSS framework like Tailwind to avoid hours of custom CSS work.</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Why this structure prevents "The Wall":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get bored with the UI, you can spend a day working on the "Engine" package. If the math in the Engine gets too heavy, you can switch to the "Manual" or the "UI Library." You have different "rooms" to work in, which keeps your brain engaged without losing overall momentum.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Would you like me to draft the next Internal page: "1.3 The Legal &amp; Employment Shield"?</w:t>
      </w:r>
      <w:r w:rsidDel="00000000" w:rsidR="00000000" w:rsidRPr="00000000">
        <w:rPr>
          <w:rFonts w:ascii="Google Sans" w:cs="Google Sans" w:eastAsia="Google Sans" w:hAnsi="Google Sans"/>
          <w:color w:val="1f1f1f"/>
          <w:rtl w:val="0"/>
        </w:rPr>
        <w:t xml:space="preserve"> (This covers the moonlighting checks and LLC formation notes we discussed to ensure you own the code).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