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Laboratorio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Visualización</w:t>
      </w:r>
      <w:r>
        <w:t xml:space="preserve"> </w:t>
      </w:r>
      <w:r>
        <w:t xml:space="preserve">+</w:t>
      </w:r>
      <w:r>
        <w:t xml:space="preserve"> </w:t>
      </w:r>
      <w:r>
        <w:t xml:space="preserve">reglas/alertas</w:t>
      </w:r>
      <w:r>
        <w:t xml:space="preserve"> </w:t>
      </w:r>
      <w:r>
        <w:t xml:space="preserve">(MQTT,</w:t>
      </w:r>
      <w:r>
        <w:t xml:space="preserve"> </w:t>
      </w:r>
      <w:r>
        <w:t xml:space="preserve">InfluxDB</w:t>
      </w:r>
      <w:r>
        <w:t xml:space="preserve"> </w:t>
      </w:r>
      <w:r>
        <w:t xml:space="preserve">y</w:t>
      </w:r>
      <w:r>
        <w:t xml:space="preserve"> </w:t>
      </w:r>
      <w:r>
        <w:t xml:space="preserve">Grafana</w:t>
      </w:r>
      <w:r>
        <w:t xml:space="preserve"> </w:t>
      </w:r>
      <w:r>
        <w:t xml:space="preserve">en</w:t>
      </w:r>
      <w:r>
        <w:t xml:space="preserve"> </w:t>
      </w:r>
      <w:r>
        <w:t xml:space="preserve">una</w:t>
      </w:r>
      <w:r>
        <w:t xml:space="preserve"> </w:t>
      </w:r>
      <w:r>
        <w:t xml:space="preserve">VM)</w:t>
      </w:r>
    </w:p>
    <w:p>
      <w:pPr>
        <w:pStyle w:val="Subtitle"/>
      </w:pPr>
      <w:r>
        <w:t xml:space="preserve">IoT</w:t>
      </w:r>
      <w:r>
        <w:t xml:space="preserve"> </w:t>
      </w:r>
      <w:r>
        <w:t xml:space="preserve">+</w:t>
      </w:r>
      <w:r>
        <w:t xml:space="preserve"> </w:t>
      </w:r>
      <w:r>
        <w:t xml:space="preserve">Cloud</w:t>
      </w:r>
      <w:r>
        <w:t xml:space="preserve"> </w:t>
      </w:r>
      <w:r>
        <w:t xml:space="preserve">+</w:t>
      </w:r>
      <w:r>
        <w:t xml:space="preserve"> </w:t>
      </w:r>
      <w:r>
        <w:t xml:space="preserve">Sistemas</w:t>
      </w:r>
      <w:r>
        <w:t xml:space="preserve"> </w:t>
      </w:r>
      <w:r>
        <w:t xml:space="preserve">Distribuidos</w:t>
      </w:r>
      <w:r>
        <w:t xml:space="preserve"> </w:t>
      </w:r>
      <w:r>
        <w:t xml:space="preserve">·</w:t>
      </w:r>
      <w:r>
        <w:t xml:space="preserve"> </w:t>
      </w:r>
      <w:r>
        <w:t xml:space="preserve">UNAB</w:t>
      </w:r>
    </w:p>
    <w:p>
      <w:pPr>
        <w:pStyle w:val="Author"/>
      </w:pPr>
      <w:r>
        <w:t xml:space="preserve">Juan</w:t>
      </w:r>
      <w:r>
        <w:t xml:space="preserve"> </w:t>
      </w:r>
      <w:r>
        <w:t xml:space="preserve">Rojas</w:t>
      </w:r>
    </w:p>
    <w:p>
      <w:pPr>
        <w:pStyle w:val="Date"/>
      </w:pPr>
      <w:r>
        <w:t xml:space="preserve">23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arquitectura"/>
    <w:p>
      <w:pPr>
        <w:pStyle w:val="Heading2"/>
      </w:pPr>
      <w:r>
        <w:t xml:space="preserve">1. Arquitectura</w:t>
      </w:r>
    </w:p>
    <w:p>
      <w:pPr>
        <w:pStyle w:val="SourceCode"/>
      </w:pPr>
      <w:r>
        <w:rPr>
          <w:rStyle w:val="VerbatimChar"/>
        </w:rPr>
        <w:t xml:space="preserve">Publicador (Python) --MQTT QoS1, topic uab/lab5/sala1--&gt; Mosquitto 2.0</w:t>
      </w:r>
      <w:r>
        <w:br/>
      </w:r>
      <w:r>
        <w:rPr>
          <w:rStyle w:val="VerbatimChar"/>
        </w:rPr>
        <w:t xml:space="preserve">     --&gt; Telegraf (mqtt_consumer) --&gt; InfluxDB 2.7 (bucket "iot", measurement "ambiente")</w:t>
      </w:r>
      <w:r>
        <w:br/>
      </w:r>
      <w:r>
        <w:rPr>
          <w:rStyle w:val="VerbatimChar"/>
        </w:rPr>
        <w:t xml:space="preserve">     &lt;-- Grafana OSS 11.2 (datasource Flux, dashboard 4 días, alerta) --webhook--&gt; alert-logger</w:t>
      </w:r>
    </w:p>
    <w:p>
      <w:pPr>
        <w:pStyle w:val="FirstParagraph"/>
      </w:pPr>
      <w:r>
        <w:t xml:space="preserve">Todo corre en una VM con Docker Compose (6 contenedores). Grafana es un servicio aparte que solo lee InfluxDB; no participa en la ingesta. El publicador envía un JSON cada 10 s con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(°C),</w:t>
      </w:r>
      <w:r>
        <w:t xml:space="preserve"> </w:t>
      </w:r>
      <w:r>
        <w:rPr>
          <w:rStyle w:val="VerbatimChar"/>
        </w:rPr>
        <w:t xml:space="preserve">humidity</w:t>
      </w:r>
      <w:r>
        <w:t xml:space="preserve"> </w:t>
      </w:r>
      <w:r>
        <w:t xml:space="preserve">(%),</w:t>
      </w:r>
      <w:r>
        <w:t xml:space="preserve"> </w:t>
      </w:r>
      <w:r>
        <w:rPr>
          <w:rStyle w:val="VerbatimChar"/>
        </w:rPr>
        <w:t xml:space="preserve">illuminance</w:t>
      </w:r>
      <w:r>
        <w:t xml:space="preserve"> </w:t>
      </w:r>
      <w:r>
        <w:t xml:space="preserve">(lux) y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(epoch en ms); Telegraf usa ese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como marca de tiempo real del punto.</w:t>
      </w:r>
    </w:p>
    <w:bookmarkEnd w:id="20"/>
    <w:bookmarkStart w:id="21" w:name="justificación-del-protocolo-mqtt"/>
    <w:p>
      <w:pPr>
        <w:pStyle w:val="Heading2"/>
      </w:pPr>
      <w:r>
        <w:t xml:space="preserve">2. Justificación del protocolo: MQTT</w:t>
      </w:r>
    </w:p>
    <w:p>
      <w:pPr>
        <w:numPr>
          <w:ilvl w:val="0"/>
          <w:numId w:val="1001"/>
        </w:numPr>
        <w:pStyle w:val="Compact"/>
      </w:pPr>
      <w:r>
        <w:t xml:space="preserve">Modelo publicar/suscribir pensado para telemetría de sensores: el publicador no necesita conocer a la TSDB.</w:t>
      </w:r>
    </w:p>
    <w:p>
      <w:pPr>
        <w:numPr>
          <w:ilvl w:val="0"/>
          <w:numId w:val="1001"/>
        </w:numPr>
        <w:pStyle w:val="Compact"/>
      </w:pPr>
      <w:r>
        <w:t xml:space="preserve">Cabecera mínima y conexión persistente: apto para la futura Raspberry Pi y redes inestables.</w:t>
      </w:r>
    </w:p>
    <w:p>
      <w:pPr>
        <w:numPr>
          <w:ilvl w:val="0"/>
          <w:numId w:val="1001"/>
        </w:numPr>
        <w:pStyle w:val="Compact"/>
      </w:pPr>
      <w:r>
        <w:t xml:space="preserve">QoS 1 asegura entrega al menos una vez; Telegraf con sesión persistente no pierde mensajes si se reinicia.</w:t>
      </w:r>
    </w:p>
    <w:p>
      <w:pPr>
        <w:numPr>
          <w:ilvl w:val="0"/>
          <w:numId w:val="1001"/>
        </w:numPr>
        <w:pStyle w:val="Compact"/>
      </w:pPr>
      <w:r>
        <w:t xml:space="preserve">Integración directa con Telegraf (</w:t>
      </w:r>
      <w:r>
        <w:rPr>
          <w:rStyle w:val="VerbatimChar"/>
        </w:rPr>
        <w:t xml:space="preserve">inputs.mqtt_consumer</w:t>
      </w:r>
      <w:r>
        <w:t xml:space="preserve">) sin escribir código de ingesta.</w:t>
      </w:r>
    </w:p>
    <w:p>
      <w:pPr>
        <w:numPr>
          <w:ilvl w:val="0"/>
          <w:numId w:val="1001"/>
        </w:numPr>
        <w:pStyle w:val="Compact"/>
      </w:pPr>
      <w:r>
        <w:t xml:space="preserve">Frente a AMQP: no necesitamos colas, enrutamiento ni confirmaciones complejas. Frente a CoAP: CoAP es petición/respuesta sobre UDP y requeriría un servidor propio que escriba en la TSDB.</w:t>
      </w:r>
    </w:p>
    <w:bookmarkEnd w:id="21"/>
    <w:bookmarkStart w:id="22" w:name="dashboard"/>
    <w:p>
      <w:pPr>
        <w:pStyle w:val="Heading2"/>
      </w:pPr>
      <w:r>
        <w:t xml:space="preserve">3. Dashboard</w:t>
      </w:r>
    </w:p>
    <w:p>
      <w:pPr>
        <w:pStyle w:val="FirstParagraph"/>
      </w:pPr>
      <w:r>
        <w:t xml:space="preserve">Título:</w:t>
      </w:r>
      <w:r>
        <w:t xml:space="preserve"> </w:t>
      </w:r>
      <w:r>
        <w:rPr>
          <w:iCs/>
          <w:i/>
        </w:rPr>
        <w:t xml:space="preserve">Lab 5 — Sala 1: temperatura, humedad e iluminancia</w:t>
      </w:r>
      <w:r>
        <w:t xml:space="preserve">, con una línea de qué vigila el operador. Tiene tres gauges con unidad y rango del escenario (15–35 °C, 30–90 %, 0–1000 lux) y tres series temporales con rango fijo</w:t>
      </w:r>
      <w:r>
        <w:t xml:space="preserve"> </w:t>
      </w:r>
      <w:r>
        <w:rPr>
          <w:rStyle w:val="VerbatimChar"/>
        </w:rPr>
        <w:t xml:space="preserve">now-4d</w:t>
      </w:r>
      <w:r>
        <w:t xml:space="preserve">. En la serie de temperatura se marca en rojo el umbral de 30 °C.</w:t>
      </w:r>
    </w:p>
    <w:bookmarkEnd w:id="22"/>
    <w:bookmarkStart w:id="23" w:name="alerta-de-umbral"/>
    <w:p>
      <w:pPr>
        <w:pStyle w:val="Heading2"/>
      </w:pPr>
      <w:r>
        <w:t xml:space="preserve">4. Alerta de umbral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promedio de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30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últimos 2 min, evaluada cada 1 min, pendiente 1 min antes de Firing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a</w:t>
            </w:r>
            <w:r>
              <w:t xml:space="preserve"> </w:t>
            </w:r>
            <w:r>
              <w:rPr>
                <w:rStyle w:val="VerbatimChar"/>
              </w:rPr>
              <w:t xml:space="preserve">alert-logger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evidencias/alertas.log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scripts/forzar_alerta.sh</w:t>
            </w:r>
            <w:r>
              <w:t xml:space="preserve"> </w:t>
            </w:r>
            <w:r>
              <w:t xml:space="preserve">publica 36 °C durante 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Forzado a las [hh:mm]; Firing a las [hh:mm]; Resolved a las [hh:mm] (ver</w:t>
            </w:r>
            <w:r>
              <w:t xml:space="preserve"> </w:t>
            </w:r>
            <w:r>
              <w:rPr>
                <w:rStyle w:val="VerbatimChar"/>
              </w:rPr>
              <w:t xml:space="preserve">alerta_firing.png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alertas.log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El umbral de 30 °C queda por encima del rango normal simulado (21–27 °C), así que no hay falsos positivos durante la toma.</w:t>
      </w:r>
    </w:p>
    <w:bookmarkEnd w:id="23"/>
    <w:bookmarkStart w:id="24" w:name="ventana-de-4-días"/>
    <w:p>
      <w:pPr>
        <w:pStyle w:val="Heading2"/>
      </w:pPr>
      <w:r>
        <w:t xml:space="preserve">5. Ventana de 4 días</w:t>
      </w:r>
    </w:p>
    <w:p>
      <w:pPr>
        <w:pStyle w:val="FirstParagraph"/>
      </w:pPr>
      <w:r>
        <w:rPr>
          <w:bCs/>
          <w:b/>
        </w:rPr>
        <w:t xml:space="preserve">Aclaración:</w:t>
      </w:r>
      <w:r>
        <w:t xml:space="preserve"> </w:t>
      </w:r>
      <w:r>
        <w:t xml:space="preserve">la toma en vivo no alcanzó los 4 días antes de la entrega. Como permite el enunciado, se indica la</w:t>
      </w:r>
      <w:r>
        <w:t xml:space="preserve"> </w:t>
      </w:r>
      <w:r>
        <w:rPr>
          <w:bCs/>
          <w:b/>
        </w:rPr>
        <w:t xml:space="preserve">fecha de corte</w:t>
      </w:r>
      <w:r>
        <w:t xml:space="preserve">. Para mostrar la ventana completa en Grafana, los 4 días previos se</w:t>
      </w:r>
      <w:r>
        <w:t xml:space="preserve"> </w:t>
      </w:r>
      <w:r>
        <w:rPr>
          <w:bCs/>
          <w:b/>
        </w:rPr>
        <w:t xml:space="preserve">rellenaron con datos simulados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publisher.py --backfill-days 4 --step 60</w:t>
      </w:r>
      <w:r>
        <w:t xml:space="preserve">). Ese relleno usa el mismo modelo del publicador y pasa por el mismo camino MQTT → Telegraf → InfluxDB, con marcas de tiempo pasadas. Ningún dato proviene de un sensor físico.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Relleno simulado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[inicio y fin de</w:t>
            </w:r>
            <w:r>
              <w:t xml:space="preserve"> </w:t>
            </w:r>
            <w:r>
              <w:rPr>
                <w:rStyle w:val="VerbatimChar"/>
              </w:rPr>
              <w:t xml:space="preserve">evidencias/backfill.txt</w:t>
            </w:r>
            <w:r>
              <w:t xml:space="preserve">], 1 lectura/min, 5 760 puntos por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 en vivo (cada 10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[fecha/hora de arranque]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[fecha/hora de</w:t>
            </w:r>
            <w:r>
              <w:t xml:space="preserve"> </w:t>
            </w:r>
            <w:r>
              <w:rPr>
                <w:rStyle w:val="VerbatimChar"/>
              </w:rPr>
              <w:t xml:space="preserve">consulta.txt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Huecos &gt; 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[ninguno / lista de</w:t>
            </w:r>
            <w:r>
              <w:t xml:space="preserve"> </w:t>
            </w:r>
            <w:r>
              <w:rPr>
                <w:rStyle w:val="VerbatimChar"/>
              </w:rPr>
              <w:t xml:space="preserve">huecos.txt</w:t>
            </w:r>
            <w:r>
              <w:t xml:space="preserve">]</w:t>
            </w:r>
          </w:p>
        </w:tc>
      </w:tr>
    </w:tbl>
    <w:p>
      <w:pPr>
        <w:pStyle w:val="BodyText"/>
      </w:pPr>
      <w:r>
        <w:t xml:space="preserve">La toma en vivo sigue corriendo. La evidencia de los 4 días reales se adjunta al completarse, como indica el enunciado.</w:t>
      </w:r>
    </w:p>
    <w:p>
      <w:pPr>
        <w:pStyle w:val="BodyText"/>
      </w:pPr>
      <w:r>
        <w:t xml:space="preserve">Evidencias:</w:t>
      </w:r>
      <w:r>
        <w:t xml:space="preserve"> </w:t>
      </w:r>
      <w:r>
        <w:rPr>
          <w:rStyle w:val="VerbatimChar"/>
        </w:rPr>
        <w:t xml:space="preserve">backfill.txt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huecos.txt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dashboard_4dias.png</w:t>
      </w:r>
      <w:r>
        <w:t xml:space="preserve">, todas en</w:t>
      </w:r>
      <w:r>
        <w:t xml:space="preserve"> </w:t>
      </w:r>
      <w:r>
        <w:rPr>
          <w:rStyle w:val="VerbatimChar"/>
        </w:rPr>
        <w:t xml:space="preserve">evidencias/</w:t>
      </w:r>
      <w:r>
        <w:t xml:space="preserve">.</w:t>
      </w:r>
    </w:p>
    <w:bookmarkEnd w:id="24"/>
    <w:bookmarkStart w:id="25" w:name="qué-falló-al-instalar-en-la-vm"/>
    <w:p>
      <w:pPr>
        <w:pStyle w:val="Heading2"/>
      </w:pPr>
      <w:r>
        <w:t xml:space="preserve">6. Qué falló al instalar en la VM</w:t>
      </w:r>
    </w:p>
    <w:p>
      <w:pPr>
        <w:numPr>
          <w:ilvl w:val="0"/>
          <w:numId w:val="1002"/>
        </w:numPr>
        <w:pStyle w:val="Compact"/>
      </w:pPr>
      <w:r>
        <w:t xml:space="preserve">[Editar con lo que les pasó. Problemas típicos que encontramos / previmos:]</w:t>
      </w:r>
    </w:p>
    <w:p>
      <w:pPr>
        <w:numPr>
          <w:ilvl w:val="0"/>
          <w:numId w:val="1002"/>
        </w:numPr>
        <w:pStyle w:val="Compact"/>
      </w:pPr>
      <w:r>
        <w:t xml:space="preserve">Permisos de Docker: hubo que agregar el usuario al grupo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usermod -aG docker</w:t>
      </w:r>
      <w:r>
        <w:t xml:space="preserve">) y reabrir sesión.</w:t>
      </w:r>
    </w:p>
    <w:p>
      <w:pPr>
        <w:numPr>
          <w:ilvl w:val="0"/>
          <w:numId w:val="1002"/>
        </w:numPr>
        <w:pStyle w:val="Compact"/>
      </w:pPr>
      <w:r>
        <w:t xml:space="preserve">Grafana no accesible desde fuera: faltaba abrir el puerto 3000 en el firewall/NAT de la VM.</w:t>
      </w:r>
    </w:p>
    <w:p>
      <w:pPr>
        <w:numPr>
          <w:ilvl w:val="0"/>
          <w:numId w:val="1002"/>
        </w:numPr>
        <w:pStyle w:val="Compact"/>
      </w:pPr>
      <w:r>
        <w:t xml:space="preserve">InfluxDB solo aplica</w:t>
      </w:r>
      <w:r>
        <w:t xml:space="preserve"> </w:t>
      </w:r>
      <w:r>
        <w:rPr>
          <w:rStyle w:val="VerbatimChar"/>
        </w:rPr>
        <w:t xml:space="preserve">DOCKER_INFLUXDB_INIT_*</w:t>
      </w:r>
      <w:r>
        <w:t xml:space="preserve"> </w:t>
      </w:r>
      <w:r>
        <w:t xml:space="preserve">la primera vez: al cambiar el token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hubo que borrar el volumen (</w:t>
      </w:r>
      <w:r>
        <w:rPr>
          <w:rStyle w:val="VerbatimChar"/>
        </w:rPr>
        <w:t xml:space="preserve">docker compose down -v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Desfase de hora en el dashboard: se fijó</w:t>
      </w:r>
      <w:r>
        <w:t xml:space="preserve"> </w:t>
      </w:r>
      <w:r>
        <w:rPr>
          <w:rStyle w:val="VerbatimChar"/>
        </w:rPr>
        <w:t xml:space="preserve">TZ=America/Bogota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del publicador en UTC (epoch).</w:t>
      </w:r>
    </w:p>
    <w:bookmarkEnd w:id="25"/>
    <w:bookmarkStart w:id="26" w:name="repositorio"/>
    <w:p>
      <w:pPr>
        <w:pStyle w:val="Heading2"/>
      </w:pPr>
      <w:r>
        <w:t xml:space="preserve">7. Repositorio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(sin secretos),</w:t>
      </w:r>
      <w:r>
        <w:t xml:space="preserve"> </w:t>
      </w:r>
      <w:r>
        <w:rPr>
          <w:rStyle w:val="VerbatimChar"/>
        </w:rPr>
        <w:t xml:space="preserve">publisher/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telegraf/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grafana/provisioning</w:t>
      </w:r>
      <w:r>
        <w:t xml:space="preserve"> </w:t>
      </w:r>
      <w:r>
        <w:t xml:space="preserve">(datasource, dashboard y alerta como código),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/evidencias</w:t>
      </w:r>
      <w:r>
        <w:t xml:space="preserve">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5 — Visualización + reglas/alertas (MQTT, InfluxDB y Grafana en una VM)</dc:title>
  <dc:creator>Juan Rojas</dc:creator>
  <cp:keywords/>
  <dcterms:created xsi:type="dcterms:W3CDTF">2026-10-22T18:36:53Z</dcterms:created>
  <dcterms:modified xsi:type="dcterms:W3CDTF">2026-10-22T18:36:53Z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de octubre de 2026</vt:lpwstr>
  </property>
  <property fmtid="{D5CDD505-2E9C-101B-9397-08002B2CF9AE}" pid="3" name="subtitle">
    <vt:lpwstr>IoT + Cloud + Sistemas Distribuidos · UNAB</vt:lpwstr>
  </property>
</Properties>
</file>