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E89870" w14:textId="223AFBAE" w:rsidR="00356291" w:rsidRDefault="3B60FE58" w:rsidP="664C361C">
      <w:pPr>
        <w:spacing w:after="0" w:line="480" w:lineRule="auto"/>
        <w:jc w:val="center"/>
      </w:pPr>
      <w:r w:rsidRPr="664C361C">
        <w:rPr>
          <w:rFonts w:ascii="Times New Roman" w:eastAsia="Times New Roman" w:hAnsi="Times New Roman" w:cs="Times New Roman"/>
          <w:b/>
          <w:bCs/>
          <w:color w:val="000000" w:themeColor="text1"/>
        </w:rPr>
        <w:t>Arquitectura de Observabilidad con</w:t>
      </w:r>
    </w:p>
    <w:p w14:paraId="1AC838CC" w14:textId="5C0A9F87" w:rsidR="00356291" w:rsidRDefault="3B60FE58" w:rsidP="664C361C">
      <w:pPr>
        <w:spacing w:after="0" w:line="480" w:lineRule="auto"/>
        <w:jc w:val="center"/>
      </w:pPr>
      <w:r w:rsidRPr="664C361C">
        <w:rPr>
          <w:rFonts w:ascii="Times New Roman" w:eastAsia="Times New Roman" w:hAnsi="Times New Roman" w:cs="Times New Roman"/>
          <w:b/>
          <w:bCs/>
          <w:color w:val="000000" w:themeColor="text1"/>
        </w:rPr>
        <w:t>OpenTelemetry</w:t>
      </w:r>
    </w:p>
    <w:p w14:paraId="40685856" w14:textId="6DED4F8F" w:rsidR="00356291" w:rsidRDefault="00356291" w:rsidP="664C361C">
      <w:pPr>
        <w:spacing w:after="0" w:line="480" w:lineRule="auto"/>
        <w:ind w:firstLine="720"/>
        <w:rPr>
          <w:rFonts w:ascii="Times New Roman" w:eastAsia="Times New Roman" w:hAnsi="Times New Roman" w:cs="Times New Roman"/>
          <w:color w:val="000000" w:themeColor="text1"/>
        </w:rPr>
      </w:pPr>
    </w:p>
    <w:p w14:paraId="219C1899" w14:textId="75435B9F" w:rsidR="00356291" w:rsidRDefault="62E93A1E" w:rsidP="664C361C">
      <w:pPr>
        <w:spacing w:after="0" w:line="480" w:lineRule="auto"/>
        <w:jc w:val="center"/>
        <w:rPr>
          <w:rFonts w:ascii="Times New Roman" w:eastAsia="Times New Roman" w:hAnsi="Times New Roman" w:cs="Times New Roman"/>
          <w:color w:val="000000" w:themeColor="text1"/>
        </w:rPr>
      </w:pPr>
      <w:r w:rsidRPr="664C361C">
        <w:rPr>
          <w:rFonts w:ascii="Times New Roman" w:eastAsia="Times New Roman" w:hAnsi="Times New Roman" w:cs="Times New Roman"/>
          <w:color w:val="000000" w:themeColor="text1"/>
        </w:rPr>
        <w:t>Carlos Arturo Salazar Castaneda</w:t>
      </w:r>
      <w:r w:rsidR="00000000">
        <w:br/>
      </w:r>
      <w:r w:rsidRPr="664C361C">
        <w:rPr>
          <w:rFonts w:ascii="Times New Roman" w:eastAsia="Times New Roman" w:hAnsi="Times New Roman" w:cs="Times New Roman"/>
          <w:color w:val="000000" w:themeColor="text1"/>
        </w:rPr>
        <w:t>Juan Sebastian Buitrago Romero</w:t>
      </w:r>
      <w:r w:rsidR="00000000">
        <w:br/>
      </w:r>
      <w:r w:rsidRPr="664C361C">
        <w:rPr>
          <w:rFonts w:ascii="Times New Roman" w:eastAsia="Times New Roman" w:hAnsi="Times New Roman" w:cs="Times New Roman"/>
          <w:color w:val="000000" w:themeColor="text1"/>
        </w:rPr>
        <w:t>Juan Jose Velez Alvarez</w:t>
      </w:r>
      <w:r w:rsidR="00000000">
        <w:br/>
      </w:r>
      <w:r w:rsidRPr="664C361C">
        <w:rPr>
          <w:rFonts w:ascii="Times New Roman" w:eastAsia="Times New Roman" w:hAnsi="Times New Roman" w:cs="Times New Roman"/>
          <w:color w:val="000000" w:themeColor="text1"/>
        </w:rPr>
        <w:t>Jhonatan Winston Sotelo</w:t>
      </w:r>
      <w:r w:rsidR="00000000">
        <w:br/>
      </w:r>
      <w:r w:rsidRPr="664C361C">
        <w:rPr>
          <w:rFonts w:ascii="Times New Roman" w:eastAsia="Times New Roman" w:hAnsi="Times New Roman" w:cs="Times New Roman"/>
          <w:color w:val="000000" w:themeColor="text1"/>
        </w:rPr>
        <w:t>Santiago Eduardo Muñoz Castillo</w:t>
      </w:r>
      <w:r w:rsidR="00000000">
        <w:br/>
      </w:r>
      <w:r w:rsidR="00000000">
        <w:br/>
      </w:r>
      <w:r w:rsidRPr="664C361C">
        <w:rPr>
          <w:rFonts w:ascii="Times New Roman" w:eastAsia="Times New Roman" w:hAnsi="Times New Roman" w:cs="Times New Roman"/>
          <w:color w:val="000000" w:themeColor="text1"/>
        </w:rPr>
        <w:t>12 de octubre de 2026</w:t>
      </w:r>
    </w:p>
    <w:p w14:paraId="2C078E63" w14:textId="7CF097B6" w:rsidR="00356291" w:rsidRDefault="00356291"/>
    <w:p w14:paraId="14C66F0C" w14:textId="299AA614" w:rsidR="664C361C" w:rsidRDefault="664C361C"/>
    <w:p w14:paraId="529C402D" w14:textId="07CF9121" w:rsidR="664C361C" w:rsidRDefault="664C361C"/>
    <w:p w14:paraId="3BDDCED9" w14:textId="0901E5C8" w:rsidR="664C361C" w:rsidRDefault="664C361C"/>
    <w:p w14:paraId="2C122049" w14:textId="4E561F9E" w:rsidR="664C361C" w:rsidRDefault="664C361C"/>
    <w:p w14:paraId="0BD5C834" w14:textId="196F6E75" w:rsidR="664C361C" w:rsidRDefault="664C361C"/>
    <w:p w14:paraId="1B72871A" w14:textId="38BCBDC5" w:rsidR="664C361C" w:rsidRDefault="664C361C"/>
    <w:p w14:paraId="1ADB7222" w14:textId="45ED8DA1" w:rsidR="664C361C" w:rsidRDefault="664C361C"/>
    <w:p w14:paraId="1C4BCAFB" w14:textId="6FDC3F4C" w:rsidR="664C361C" w:rsidRDefault="664C361C"/>
    <w:p w14:paraId="5E13175A" w14:textId="4DF9A6C0" w:rsidR="664C361C" w:rsidRDefault="664C361C"/>
    <w:p w14:paraId="1D9C5283" w14:textId="3A57AC19" w:rsidR="664C361C" w:rsidRDefault="664C361C"/>
    <w:p w14:paraId="525D9482" w14:textId="53D3FF37" w:rsidR="664C361C" w:rsidRDefault="664C361C"/>
    <w:p w14:paraId="0169AD3F" w14:textId="266098EC" w:rsidR="664C361C" w:rsidRDefault="664C361C"/>
    <w:p w14:paraId="045487A7" w14:textId="3DFEDF7D" w:rsidR="664C361C" w:rsidRDefault="664C361C"/>
    <w:p w14:paraId="03544BDB" w14:textId="7C6047DF" w:rsidR="664C361C" w:rsidRDefault="664C361C" w:rsidP="664C361C"/>
    <w:p w14:paraId="659A9C9C" w14:textId="22886C29" w:rsidR="0CBFFDDC" w:rsidRDefault="0CBFFDDC" w:rsidP="664C361C">
      <w:pPr>
        <w:spacing w:after="0" w:line="480" w:lineRule="auto"/>
        <w:jc w:val="center"/>
        <w:rPr>
          <w:rFonts w:ascii="Times New Roman" w:eastAsia="Times New Roman" w:hAnsi="Times New Roman" w:cs="Times New Roman"/>
          <w:b/>
          <w:bCs/>
          <w:color w:val="000000" w:themeColor="text1"/>
        </w:rPr>
      </w:pPr>
      <w:r w:rsidRPr="664C361C">
        <w:rPr>
          <w:b/>
          <w:bCs/>
          <w:color w:val="000000" w:themeColor="text1"/>
        </w:rPr>
        <w:lastRenderedPageBreak/>
        <w:t>Arquitectura de Observabilidad con OpenTelemetry</w:t>
      </w:r>
    </w:p>
    <w:p w14:paraId="239B6C32" w14:textId="06F49C4F" w:rsidR="0CBFFDDC" w:rsidRDefault="0CBFFDDC" w:rsidP="664C361C">
      <w:pPr>
        <w:spacing w:after="0" w:line="480" w:lineRule="auto"/>
        <w:jc w:val="center"/>
      </w:pPr>
      <w:r w:rsidRPr="664C361C">
        <w:rPr>
          <w:rFonts w:ascii="Times New Roman" w:eastAsia="Times New Roman" w:hAnsi="Times New Roman" w:cs="Times New Roman"/>
          <w:b/>
          <w:bCs/>
          <w:color w:val="000000" w:themeColor="text1"/>
        </w:rPr>
        <w:t>Instrumentación Python, OTel Collector y análisis de overhead</w:t>
      </w:r>
    </w:p>
    <w:p w14:paraId="480B95DA" w14:textId="4F4EA860" w:rsidR="664C361C" w:rsidRDefault="664C361C" w:rsidP="664C361C">
      <w:pPr>
        <w:spacing w:after="0" w:line="480" w:lineRule="auto"/>
        <w:jc w:val="center"/>
        <w:rPr>
          <w:rFonts w:ascii="Times New Roman" w:eastAsia="Times New Roman" w:hAnsi="Times New Roman" w:cs="Times New Roman"/>
          <w:b/>
          <w:bCs/>
          <w:color w:val="000000" w:themeColor="text1"/>
        </w:rPr>
      </w:pPr>
    </w:p>
    <w:p w14:paraId="76871940" w14:textId="4EF51884" w:rsidR="664C361C" w:rsidRDefault="664C361C" w:rsidP="664C361C">
      <w:pPr>
        <w:spacing w:after="0" w:line="480" w:lineRule="auto"/>
        <w:jc w:val="center"/>
        <w:rPr>
          <w:rFonts w:ascii="Times New Roman" w:eastAsia="Times New Roman" w:hAnsi="Times New Roman" w:cs="Times New Roman"/>
          <w:b/>
          <w:bCs/>
          <w:color w:val="000000" w:themeColor="text1"/>
        </w:rPr>
      </w:pPr>
    </w:p>
    <w:p w14:paraId="3D20B615" w14:textId="186D08FC" w:rsidR="7D7F96B8" w:rsidRDefault="7D7F96B8" w:rsidP="664C361C">
      <w:pPr>
        <w:spacing w:after="0" w:line="480" w:lineRule="auto"/>
        <w:jc w:val="center"/>
        <w:rPr>
          <w:rFonts w:ascii="Times New Roman" w:eastAsia="Times New Roman" w:hAnsi="Times New Roman" w:cs="Times New Roman"/>
          <w:b/>
          <w:bCs/>
          <w:color w:val="000000" w:themeColor="text1"/>
        </w:rPr>
      </w:pPr>
      <w:r w:rsidRPr="664C361C">
        <w:rPr>
          <w:rFonts w:ascii="Times New Roman" w:eastAsia="Times New Roman" w:hAnsi="Times New Roman" w:cs="Times New Roman"/>
          <w:b/>
          <w:bCs/>
          <w:color w:val="000000" w:themeColor="text1"/>
        </w:rPr>
        <w:t>Resumen ejecutivo</w:t>
      </w:r>
    </w:p>
    <w:p w14:paraId="270653BC" w14:textId="789C3D90" w:rsidR="7D7F96B8" w:rsidRDefault="7D7F96B8" w:rsidP="664C361C">
      <w:pPr>
        <w:spacing w:after="0" w:line="480" w:lineRule="auto"/>
        <w:jc w:val="both"/>
        <w:rPr>
          <w:rFonts w:ascii="Times New Roman" w:eastAsia="Times New Roman" w:hAnsi="Times New Roman" w:cs="Times New Roman"/>
          <w:color w:val="000000" w:themeColor="text1"/>
        </w:rPr>
      </w:pPr>
      <w:r w:rsidRPr="664C361C">
        <w:rPr>
          <w:rFonts w:ascii="Times New Roman" w:eastAsia="Times New Roman" w:hAnsi="Times New Roman" w:cs="Times New Roman"/>
          <w:color w:val="000000" w:themeColor="text1"/>
        </w:rPr>
        <w:t>La solución separa la generación de telemetría de los backends de observabilidad. Cada</w:t>
      </w:r>
      <w:r w:rsidR="3D738AD2" w:rsidRPr="664C361C">
        <w:rPr>
          <w:rFonts w:ascii="Times New Roman" w:eastAsia="Times New Roman" w:hAnsi="Times New Roman" w:cs="Times New Roman"/>
          <w:color w:val="000000" w:themeColor="text1"/>
        </w:rPr>
        <w:t xml:space="preserve"> </w:t>
      </w:r>
      <w:r w:rsidRPr="664C361C">
        <w:rPr>
          <w:rFonts w:ascii="Times New Roman" w:eastAsia="Times New Roman" w:hAnsi="Times New Roman" w:cs="Times New Roman"/>
          <w:color w:val="000000" w:themeColor="text1"/>
        </w:rPr>
        <w:t>servicio</w:t>
      </w:r>
      <w:r w:rsidR="00A3CB55" w:rsidRPr="664C361C">
        <w:rPr>
          <w:rFonts w:ascii="Times New Roman" w:eastAsia="Times New Roman" w:hAnsi="Times New Roman" w:cs="Times New Roman"/>
          <w:color w:val="000000" w:themeColor="text1"/>
        </w:rPr>
        <w:t xml:space="preserve"> </w:t>
      </w:r>
      <w:r w:rsidRPr="664C361C">
        <w:rPr>
          <w:rFonts w:ascii="Times New Roman" w:eastAsia="Times New Roman" w:hAnsi="Times New Roman" w:cs="Times New Roman"/>
          <w:color w:val="000000" w:themeColor="text1"/>
        </w:rPr>
        <w:t>Python utiliza</w:t>
      </w:r>
      <w:r w:rsidR="51C9ECB9" w:rsidRPr="664C361C">
        <w:rPr>
          <w:rFonts w:ascii="Times New Roman" w:eastAsia="Times New Roman" w:hAnsi="Times New Roman" w:cs="Times New Roman"/>
          <w:color w:val="000000" w:themeColor="text1"/>
        </w:rPr>
        <w:t xml:space="preserve"> </w:t>
      </w:r>
      <w:r w:rsidRPr="664C361C">
        <w:rPr>
          <w:rFonts w:ascii="Times New Roman" w:eastAsia="Times New Roman" w:hAnsi="Times New Roman" w:cs="Times New Roman"/>
          <w:color w:val="000000" w:themeColor="text1"/>
        </w:rPr>
        <w:t>OpenTelemetry SDK e instrumentación automática para FastAPI, HTTPX y SQLAlchemy, complementada con</w:t>
      </w:r>
      <w:r w:rsidR="69D8FAFD" w:rsidRPr="664C361C">
        <w:rPr>
          <w:rFonts w:ascii="Times New Roman" w:eastAsia="Times New Roman" w:hAnsi="Times New Roman" w:cs="Times New Roman"/>
          <w:color w:val="000000" w:themeColor="text1"/>
        </w:rPr>
        <w:t xml:space="preserve"> </w:t>
      </w:r>
      <w:r w:rsidRPr="664C361C">
        <w:rPr>
          <w:rFonts w:ascii="Times New Roman" w:eastAsia="Times New Roman" w:hAnsi="Times New Roman" w:cs="Times New Roman"/>
          <w:color w:val="000000" w:themeColor="text1"/>
        </w:rPr>
        <w:t>spans manuales en operaciones de negocio críticas. Los tres tipos de señal se envían mediante OTLP al</w:t>
      </w:r>
      <w:r w:rsidR="1BFCC36E" w:rsidRPr="664C361C">
        <w:rPr>
          <w:rFonts w:ascii="Times New Roman" w:eastAsia="Times New Roman" w:hAnsi="Times New Roman" w:cs="Times New Roman"/>
          <w:color w:val="000000" w:themeColor="text1"/>
        </w:rPr>
        <w:t xml:space="preserve"> </w:t>
      </w:r>
      <w:r w:rsidRPr="664C361C">
        <w:rPr>
          <w:rFonts w:ascii="Times New Roman" w:eastAsia="Times New Roman" w:hAnsi="Times New Roman" w:cs="Times New Roman"/>
          <w:color w:val="000000" w:themeColor="text1"/>
        </w:rPr>
        <w:t>OpenTelemetry Collector.</w:t>
      </w:r>
    </w:p>
    <w:p w14:paraId="4876E708" w14:textId="6CC0DE8A" w:rsidR="7D7F96B8" w:rsidRDefault="7D7F96B8" w:rsidP="664C361C">
      <w:pPr>
        <w:spacing w:after="0" w:line="480" w:lineRule="auto"/>
        <w:jc w:val="both"/>
      </w:pPr>
      <w:r w:rsidRPr="664C361C">
        <w:rPr>
          <w:rFonts w:ascii="Times New Roman" w:eastAsia="Times New Roman" w:hAnsi="Times New Roman" w:cs="Times New Roman"/>
          <w:color w:val="000000" w:themeColor="text1"/>
        </w:rPr>
        <w:t>El Collector actúa como gateway de observabilidad: recibe OTLP por gRPC y HTTP, aplica control de memoria,</w:t>
      </w:r>
      <w:r w:rsidR="7399BEAE" w:rsidRPr="664C361C">
        <w:rPr>
          <w:rFonts w:ascii="Times New Roman" w:eastAsia="Times New Roman" w:hAnsi="Times New Roman" w:cs="Times New Roman"/>
          <w:color w:val="000000" w:themeColor="text1"/>
        </w:rPr>
        <w:t xml:space="preserve"> </w:t>
      </w:r>
      <w:r w:rsidRPr="664C361C">
        <w:rPr>
          <w:rFonts w:ascii="Times New Roman" w:eastAsia="Times New Roman" w:hAnsi="Times New Roman" w:cs="Times New Roman"/>
          <w:color w:val="000000" w:themeColor="text1"/>
        </w:rPr>
        <w:t>enriquecimiento de recursos y batching, y finalmente enruta trazas hacia Jaeger, métricas hacia un endpoint</w:t>
      </w:r>
      <w:r w:rsidR="48929801" w:rsidRPr="664C361C">
        <w:rPr>
          <w:rFonts w:ascii="Times New Roman" w:eastAsia="Times New Roman" w:hAnsi="Times New Roman" w:cs="Times New Roman"/>
          <w:color w:val="000000" w:themeColor="text1"/>
        </w:rPr>
        <w:t xml:space="preserve"> </w:t>
      </w:r>
      <w:r w:rsidRPr="664C361C">
        <w:rPr>
          <w:rFonts w:ascii="Times New Roman" w:eastAsia="Times New Roman" w:hAnsi="Times New Roman" w:cs="Times New Roman"/>
          <w:color w:val="000000" w:themeColor="text1"/>
        </w:rPr>
        <w:t>Prometheus y logs hacia CloudWatch Logs. Esta separación reduce el acoplamiento del código de aplicación</w:t>
      </w:r>
      <w:r w:rsidR="69D06A7B" w:rsidRPr="664C361C">
        <w:rPr>
          <w:rFonts w:ascii="Times New Roman" w:eastAsia="Times New Roman" w:hAnsi="Times New Roman" w:cs="Times New Roman"/>
          <w:color w:val="000000" w:themeColor="text1"/>
        </w:rPr>
        <w:t xml:space="preserve"> </w:t>
      </w:r>
      <w:r w:rsidRPr="664C361C">
        <w:rPr>
          <w:rFonts w:ascii="Times New Roman" w:eastAsia="Times New Roman" w:hAnsi="Times New Roman" w:cs="Times New Roman"/>
          <w:color w:val="000000" w:themeColor="text1"/>
        </w:rPr>
        <w:t>con el proveedor de observabilidad y facilita una futura sustitución de backend.</w:t>
      </w:r>
    </w:p>
    <w:p w14:paraId="781127A8" w14:textId="14C2C23B" w:rsidR="5DAA9011" w:rsidRDefault="5DAA9011" w:rsidP="664C361C">
      <w:pPr>
        <w:spacing w:after="0"/>
        <w:jc w:val="center"/>
        <w:rPr>
          <w:rFonts w:ascii="Times New Roman" w:eastAsia="Times New Roman" w:hAnsi="Times New Roman" w:cs="Times New Roman"/>
          <w:b/>
          <w:bCs/>
        </w:rPr>
      </w:pPr>
      <w:r w:rsidRPr="664C361C">
        <w:rPr>
          <w:rFonts w:ascii="Times New Roman" w:eastAsia="Times New Roman" w:hAnsi="Times New Roman" w:cs="Times New Roman"/>
          <w:b/>
          <w:bCs/>
        </w:rPr>
        <w:t xml:space="preserve">Arquitectura propuesta </w:t>
      </w:r>
    </w:p>
    <w:p w14:paraId="2576AAE4" w14:textId="01DE9C3E" w:rsidR="664C361C" w:rsidRDefault="664C361C" w:rsidP="664C361C">
      <w:pPr>
        <w:spacing w:after="0"/>
        <w:jc w:val="both"/>
        <w:rPr>
          <w:rFonts w:ascii="Times New Roman" w:eastAsia="Times New Roman" w:hAnsi="Times New Roman" w:cs="Times New Roman"/>
        </w:rPr>
      </w:pPr>
    </w:p>
    <w:p w14:paraId="19ABDFE5" w14:textId="126E82C3" w:rsidR="5DAA9011" w:rsidRDefault="5DAA9011" w:rsidP="664C361C">
      <w:pPr>
        <w:spacing w:after="0" w:line="480" w:lineRule="auto"/>
        <w:jc w:val="both"/>
      </w:pPr>
      <w:r w:rsidRPr="664C361C">
        <w:rPr>
          <w:rFonts w:ascii="Times New Roman" w:eastAsia="Times New Roman" w:hAnsi="Times New Roman" w:cs="Times New Roman"/>
          <w:color w:val="000000" w:themeColor="text1"/>
        </w:rPr>
        <w:t>El flujo de una operación comienza en orders-service. La creación de una orden genera un span de negocio y una operación SQL instrumentada automáticamente. Posteriormente el servicio llama a payments-service usando HTTPX; el contexto W3C se propaga y permite observar la transacción como una sola traza distribuida.</w:t>
      </w:r>
    </w:p>
    <w:p w14:paraId="7C1825F1" w14:textId="50AF78CE" w:rsidR="483FE3EC" w:rsidRDefault="483FE3EC" w:rsidP="664C361C">
      <w:pPr>
        <w:spacing w:after="0" w:line="480" w:lineRule="auto"/>
        <w:jc w:val="both"/>
      </w:pPr>
      <w:r>
        <w:rPr>
          <w:noProof/>
        </w:rPr>
        <w:lastRenderedPageBreak/>
        <w:drawing>
          <wp:inline distT="0" distB="0" distL="0" distR="0" wp14:anchorId="6D1E4372" wp14:editId="4F7C3A40">
            <wp:extent cx="5943600" cy="3962400"/>
            <wp:effectExtent l="0" t="0" r="0" b="0"/>
            <wp:docPr id="1308378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78413" name="Picture 1308378413"/>
                    <pic:cNvPicPr/>
                  </pic:nvPicPr>
                  <pic:blipFill>
                    <a:blip r:embed="rId5">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7F1E6DC0" w14:textId="262DEA17" w:rsidR="664C361C" w:rsidRDefault="664C361C" w:rsidP="664C361C">
      <w:pPr>
        <w:spacing w:after="0" w:line="480" w:lineRule="auto"/>
        <w:jc w:val="both"/>
        <w:rPr>
          <w:rFonts w:ascii="Times New Roman" w:eastAsia="Times New Roman" w:hAnsi="Times New Roman" w:cs="Times New Roman"/>
          <w:color w:val="000000" w:themeColor="text1"/>
        </w:rPr>
      </w:pPr>
    </w:p>
    <w:p w14:paraId="1BA65F7A" w14:textId="14A991BD" w:rsidR="664C361C" w:rsidRDefault="664C361C" w:rsidP="664C361C">
      <w:pPr>
        <w:spacing w:after="0" w:line="480" w:lineRule="auto"/>
        <w:jc w:val="center"/>
        <w:rPr>
          <w:rFonts w:ascii="Times New Roman" w:eastAsia="Times New Roman" w:hAnsi="Times New Roman" w:cs="Times New Roman"/>
          <w:color w:val="000000" w:themeColor="text1"/>
        </w:rPr>
      </w:pPr>
    </w:p>
    <w:p w14:paraId="2D2751B2"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3E95BE59"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494A0AC3"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60212597"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4D4C25FC"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02F7FCDD"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378FBCC1"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2C6B2486"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2CD9D41D"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3085E73E" w14:textId="77777777" w:rsidR="00E63F07" w:rsidRDefault="00E63F07" w:rsidP="664C361C">
      <w:pPr>
        <w:spacing w:after="0" w:line="480" w:lineRule="auto"/>
        <w:jc w:val="center"/>
        <w:rPr>
          <w:rFonts w:ascii="Times New Roman" w:eastAsia="Times New Roman" w:hAnsi="Times New Roman" w:cs="Times New Roman"/>
          <w:color w:val="000000" w:themeColor="text1"/>
        </w:rPr>
      </w:pPr>
    </w:p>
    <w:p w14:paraId="5CB4136C" w14:textId="5B1A7366" w:rsidR="00E20ABE" w:rsidRDefault="00E72634" w:rsidP="00E20ABE">
      <w:pPr>
        <w:spacing w:after="0"/>
        <w:jc w:val="center"/>
        <w:rPr>
          <w:rFonts w:ascii="Times New Roman" w:eastAsia="Times New Roman" w:hAnsi="Times New Roman" w:cs="Times New Roman"/>
          <w:b/>
          <w:bCs/>
        </w:rPr>
      </w:pPr>
      <w:r>
        <w:rPr>
          <w:rFonts w:ascii="Times New Roman" w:eastAsia="Times New Roman" w:hAnsi="Times New Roman" w:cs="Times New Roman"/>
          <w:b/>
          <w:bCs/>
        </w:rPr>
        <w:lastRenderedPageBreak/>
        <w:t>Decisiones de Diseño</w:t>
      </w:r>
    </w:p>
    <w:p w14:paraId="0359FEC4" w14:textId="77777777" w:rsidR="00E20ABE" w:rsidRDefault="00E20ABE" w:rsidP="00E20ABE">
      <w:pPr>
        <w:spacing w:after="0"/>
        <w:jc w:val="both"/>
        <w:rPr>
          <w:rFonts w:ascii="Times New Roman" w:eastAsia="Times New Roman" w:hAnsi="Times New Roman" w:cs="Times New Roman"/>
        </w:rPr>
      </w:pPr>
    </w:p>
    <w:p w14:paraId="7CD47CB6" w14:textId="761D1B1D" w:rsidR="00E91D56" w:rsidRDefault="00E91D56" w:rsidP="00E20ABE">
      <w:pPr>
        <w:spacing w:after="0"/>
        <w:jc w:val="both"/>
        <w:rPr>
          <w:rFonts w:ascii="Times New Roman" w:eastAsia="Times New Roman" w:hAnsi="Times New Roman" w:cs="Times New Roman"/>
        </w:rPr>
      </w:pPr>
      <w:r>
        <w:rPr>
          <w:rFonts w:ascii="Times New Roman" w:eastAsia="Times New Roman" w:hAnsi="Times New Roman" w:cs="Times New Roman"/>
        </w:rPr>
        <w:t xml:space="preserve">Instrumentación </w:t>
      </w:r>
    </w:p>
    <w:p w14:paraId="64534B57" w14:textId="77777777" w:rsidR="00E91D56" w:rsidRDefault="00E91D56" w:rsidP="00E20ABE">
      <w:pPr>
        <w:spacing w:after="0"/>
        <w:jc w:val="both"/>
        <w:rPr>
          <w:rFonts w:ascii="Times New Roman" w:eastAsia="Times New Roman" w:hAnsi="Times New Roman" w:cs="Times New Roman"/>
        </w:rPr>
      </w:pPr>
    </w:p>
    <w:tbl>
      <w:tblPr>
        <w:tblStyle w:val="Tablaconcuadrcula"/>
        <w:tblW w:w="9493" w:type="dxa"/>
        <w:tblLook w:val="04A0" w:firstRow="1" w:lastRow="0" w:firstColumn="1" w:lastColumn="0" w:noHBand="0" w:noVBand="1"/>
      </w:tblPr>
      <w:tblGrid>
        <w:gridCol w:w="3280"/>
        <w:gridCol w:w="3378"/>
        <w:gridCol w:w="2835"/>
      </w:tblGrid>
      <w:tr w:rsidR="00E91D56" w14:paraId="73D4DB5D" w14:textId="77777777" w:rsidTr="00E91D56">
        <w:tc>
          <w:tcPr>
            <w:tcW w:w="3280" w:type="dxa"/>
          </w:tcPr>
          <w:p w14:paraId="339C82C1" w14:textId="3BA70131" w:rsidR="00E91D56" w:rsidRPr="00E01967" w:rsidRDefault="00E91D56" w:rsidP="00AA534E">
            <w:pPr>
              <w:spacing w:line="480" w:lineRule="auto"/>
              <w:jc w:val="center"/>
              <w:rPr>
                <w:rFonts w:ascii="Times New Roman" w:eastAsia="Times New Roman" w:hAnsi="Times New Roman" w:cs="Times New Roman"/>
              </w:rPr>
            </w:pPr>
            <w:r w:rsidRPr="00E01967">
              <w:rPr>
                <w:rFonts w:ascii="Times New Roman" w:eastAsia="Times New Roman" w:hAnsi="Times New Roman" w:cs="Times New Roman"/>
              </w:rPr>
              <w:t>Decisión</w:t>
            </w:r>
          </w:p>
        </w:tc>
        <w:tc>
          <w:tcPr>
            <w:tcW w:w="3378" w:type="dxa"/>
          </w:tcPr>
          <w:p w14:paraId="3C780550" w14:textId="02180FE7" w:rsidR="00E91D56" w:rsidRPr="00E01967" w:rsidRDefault="00E91D56" w:rsidP="00AA534E">
            <w:pPr>
              <w:spacing w:line="480" w:lineRule="auto"/>
              <w:jc w:val="center"/>
              <w:rPr>
                <w:rFonts w:ascii="Times New Roman" w:eastAsia="Times New Roman" w:hAnsi="Times New Roman" w:cs="Times New Roman"/>
              </w:rPr>
            </w:pPr>
            <w:r w:rsidRPr="00E01967">
              <w:rPr>
                <w:rFonts w:ascii="Times New Roman" w:eastAsia="Times New Roman" w:hAnsi="Times New Roman" w:cs="Times New Roman"/>
              </w:rPr>
              <w:t>Justificación</w:t>
            </w:r>
          </w:p>
        </w:tc>
        <w:tc>
          <w:tcPr>
            <w:tcW w:w="2835" w:type="dxa"/>
          </w:tcPr>
          <w:p w14:paraId="6370A773" w14:textId="7B29A4CB" w:rsidR="00E91D56" w:rsidRPr="00E01967" w:rsidRDefault="00E91D56" w:rsidP="00AA534E">
            <w:pPr>
              <w:spacing w:line="480" w:lineRule="auto"/>
              <w:jc w:val="center"/>
              <w:rPr>
                <w:rFonts w:ascii="Times New Roman" w:eastAsia="Times New Roman" w:hAnsi="Times New Roman" w:cs="Times New Roman"/>
              </w:rPr>
            </w:pPr>
            <w:proofErr w:type="spellStart"/>
            <w:r w:rsidRPr="00E01967">
              <w:rPr>
                <w:rFonts w:ascii="Times New Roman" w:eastAsia="Times New Roman" w:hAnsi="Times New Roman" w:cs="Times New Roman"/>
              </w:rPr>
              <w:t>Trade</w:t>
            </w:r>
            <w:proofErr w:type="spellEnd"/>
            <w:r w:rsidRPr="00E01967">
              <w:rPr>
                <w:rFonts w:ascii="Times New Roman" w:eastAsia="Times New Roman" w:hAnsi="Times New Roman" w:cs="Times New Roman"/>
              </w:rPr>
              <w:t>-off</w:t>
            </w:r>
          </w:p>
        </w:tc>
      </w:tr>
      <w:tr w:rsidR="00E91D56" w14:paraId="5A11ED14" w14:textId="77777777" w:rsidTr="00E91D56">
        <w:tc>
          <w:tcPr>
            <w:tcW w:w="3280" w:type="dxa"/>
          </w:tcPr>
          <w:p w14:paraId="47F070E7" w14:textId="250FEA29"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SDK configurado en código</w:t>
            </w:r>
          </w:p>
        </w:tc>
        <w:tc>
          <w:tcPr>
            <w:tcW w:w="3378" w:type="dxa"/>
          </w:tcPr>
          <w:p w14:paraId="137926F3" w14:textId="3A8D529E"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 xml:space="preserve">Control explícito de </w:t>
            </w:r>
            <w:proofErr w:type="spellStart"/>
            <w:r w:rsidRPr="00E01967">
              <w:rPr>
                <w:rFonts w:ascii="Times New Roman" w:eastAsia="Times New Roman" w:hAnsi="Times New Roman" w:cs="Times New Roman"/>
              </w:rPr>
              <w:t>providers</w:t>
            </w:r>
            <w:proofErr w:type="spellEnd"/>
            <w:r w:rsidRPr="00E01967">
              <w:rPr>
                <w:rFonts w:ascii="Times New Roman" w:eastAsia="Times New Roman" w:hAnsi="Times New Roman" w:cs="Times New Roman"/>
              </w:rPr>
              <w:t xml:space="preserve">, </w:t>
            </w:r>
            <w:proofErr w:type="spellStart"/>
            <w:r w:rsidRPr="00E01967">
              <w:rPr>
                <w:rFonts w:ascii="Times New Roman" w:eastAsia="Times New Roman" w:hAnsi="Times New Roman" w:cs="Times New Roman"/>
              </w:rPr>
              <w:t>exporters</w:t>
            </w:r>
            <w:proofErr w:type="spellEnd"/>
            <w:r w:rsidRPr="00E01967">
              <w:rPr>
                <w:rFonts w:ascii="Times New Roman" w:eastAsia="Times New Roman" w:hAnsi="Times New Roman" w:cs="Times New Roman"/>
              </w:rPr>
              <w:t xml:space="preserve"> y del </w:t>
            </w:r>
            <w:proofErr w:type="spellStart"/>
            <w:r w:rsidRPr="00E01967">
              <w:rPr>
                <w:rFonts w:ascii="Times New Roman" w:eastAsia="Times New Roman" w:hAnsi="Times New Roman" w:cs="Times New Roman"/>
              </w:rPr>
              <w:t>engine</w:t>
            </w:r>
            <w:proofErr w:type="spellEnd"/>
            <w:r w:rsidRPr="00E01967">
              <w:rPr>
                <w:rFonts w:ascii="Times New Roman" w:eastAsia="Times New Roman" w:hAnsi="Times New Roman" w:cs="Times New Roman"/>
              </w:rPr>
              <w:t xml:space="preserve"> de </w:t>
            </w:r>
            <w:proofErr w:type="spellStart"/>
            <w:r w:rsidRPr="00E01967">
              <w:rPr>
                <w:rFonts w:ascii="Times New Roman" w:eastAsia="Times New Roman" w:hAnsi="Times New Roman" w:cs="Times New Roman"/>
              </w:rPr>
              <w:t>SQLAlchemy</w:t>
            </w:r>
            <w:proofErr w:type="spellEnd"/>
          </w:p>
        </w:tc>
        <w:tc>
          <w:tcPr>
            <w:tcW w:w="2835" w:type="dxa"/>
          </w:tcPr>
          <w:p w14:paraId="29D7E250" w14:textId="0F5F96B3"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Más código que mantener</w:t>
            </w:r>
          </w:p>
        </w:tc>
      </w:tr>
      <w:tr w:rsidR="00E91D56" w14:paraId="64844AA1" w14:textId="77777777" w:rsidTr="00E91D56">
        <w:tc>
          <w:tcPr>
            <w:tcW w:w="3280" w:type="dxa"/>
          </w:tcPr>
          <w:p w14:paraId="7CC1062F" w14:textId="20C6EB8E"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 xml:space="preserve">Auto-instrumentación HTTP y BD + </w:t>
            </w:r>
            <w:proofErr w:type="spellStart"/>
            <w:r w:rsidRPr="00E01967">
              <w:rPr>
                <w:rFonts w:ascii="Times New Roman" w:eastAsia="Times New Roman" w:hAnsi="Times New Roman" w:cs="Times New Roman"/>
              </w:rPr>
              <w:t>spans</w:t>
            </w:r>
            <w:proofErr w:type="spellEnd"/>
            <w:r w:rsidRPr="00E01967">
              <w:rPr>
                <w:rFonts w:ascii="Times New Roman" w:eastAsia="Times New Roman" w:hAnsi="Times New Roman" w:cs="Times New Roman"/>
              </w:rPr>
              <w:t xml:space="preserve"> propios</w:t>
            </w:r>
          </w:p>
        </w:tc>
        <w:tc>
          <w:tcPr>
            <w:tcW w:w="3378" w:type="dxa"/>
          </w:tcPr>
          <w:p w14:paraId="56EC6DC5" w14:textId="502380C9"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La auto cubre la infraestructura; la manual agrega contexto de negocio</w:t>
            </w:r>
          </w:p>
        </w:tc>
        <w:tc>
          <w:tcPr>
            <w:tcW w:w="2835" w:type="dxa"/>
          </w:tcPr>
          <w:p w14:paraId="473C0478" w14:textId="229B1781"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 xml:space="preserve">Los </w:t>
            </w:r>
            <w:proofErr w:type="spellStart"/>
            <w:r w:rsidRPr="00E01967">
              <w:rPr>
                <w:rFonts w:ascii="Times New Roman" w:eastAsia="Times New Roman" w:hAnsi="Times New Roman" w:cs="Times New Roman"/>
              </w:rPr>
              <w:t>spans</w:t>
            </w:r>
            <w:proofErr w:type="spellEnd"/>
            <w:r w:rsidRPr="00E01967">
              <w:rPr>
                <w:rFonts w:ascii="Times New Roman" w:eastAsia="Times New Roman" w:hAnsi="Times New Roman" w:cs="Times New Roman"/>
              </w:rPr>
              <w:t xml:space="preserve"> propios requieren tocar código</w:t>
            </w:r>
          </w:p>
        </w:tc>
      </w:tr>
      <w:tr w:rsidR="00E91D56" w14:paraId="3097A345" w14:textId="77777777" w:rsidTr="00E91D56">
        <w:tc>
          <w:tcPr>
            <w:tcW w:w="3280" w:type="dxa"/>
          </w:tcPr>
          <w:p w14:paraId="422FF6ED" w14:textId="3258BC98" w:rsidR="00E91D56" w:rsidRPr="00E01967" w:rsidRDefault="00E91D56" w:rsidP="00C32DC6">
            <w:pPr>
              <w:jc w:val="center"/>
              <w:rPr>
                <w:rFonts w:ascii="Times New Roman" w:eastAsia="Times New Roman" w:hAnsi="Times New Roman" w:cs="Times New Roman"/>
              </w:rPr>
            </w:pPr>
            <w:proofErr w:type="spellStart"/>
            <w:r w:rsidRPr="00E01967">
              <w:rPr>
                <w:rFonts w:ascii="Times New Roman" w:eastAsia="Times New Roman" w:hAnsi="Times New Roman" w:cs="Times New Roman"/>
              </w:rPr>
              <w:t>BatchSpanProcessor</w:t>
            </w:r>
            <w:proofErr w:type="spellEnd"/>
            <w:r w:rsidRPr="00E01967">
              <w:rPr>
                <w:rFonts w:ascii="Times New Roman" w:eastAsia="Times New Roman" w:hAnsi="Times New Roman" w:cs="Times New Roman"/>
              </w:rPr>
              <w:t xml:space="preserve"> / </w:t>
            </w:r>
            <w:proofErr w:type="spellStart"/>
            <w:r w:rsidRPr="00E01967">
              <w:rPr>
                <w:rFonts w:ascii="Times New Roman" w:eastAsia="Times New Roman" w:hAnsi="Times New Roman" w:cs="Times New Roman"/>
              </w:rPr>
              <w:t>BatchLogRecordProcessor</w:t>
            </w:r>
            <w:proofErr w:type="spellEnd"/>
          </w:p>
        </w:tc>
        <w:tc>
          <w:tcPr>
            <w:tcW w:w="3378" w:type="dxa"/>
          </w:tcPr>
          <w:p w14:paraId="15636604" w14:textId="72666AF8"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Exportan en segundo plano y por lotes, sin bloquear la petición</w:t>
            </w:r>
          </w:p>
        </w:tc>
        <w:tc>
          <w:tcPr>
            <w:tcW w:w="2835" w:type="dxa"/>
          </w:tcPr>
          <w:p w14:paraId="214D613A" w14:textId="09401A80"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Si el proceso muere de golpe, se pierden datos aún no enviados</w:t>
            </w:r>
          </w:p>
        </w:tc>
      </w:tr>
      <w:tr w:rsidR="00E91D56" w14:paraId="0EB75677" w14:textId="77777777" w:rsidTr="00E91D56">
        <w:tc>
          <w:tcPr>
            <w:tcW w:w="3280" w:type="dxa"/>
          </w:tcPr>
          <w:p w14:paraId="445F668F" w14:textId="711E349A"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Métricas cada 10 s</w:t>
            </w:r>
          </w:p>
        </w:tc>
        <w:tc>
          <w:tcPr>
            <w:tcW w:w="3378" w:type="dxa"/>
          </w:tcPr>
          <w:p w14:paraId="4197F800" w14:textId="2F246B66"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 xml:space="preserve">Equilibrio entre </w:t>
            </w:r>
            <w:r w:rsidRPr="00E01967">
              <w:rPr>
                <w:rFonts w:ascii="Times New Roman" w:eastAsia="Times New Roman" w:hAnsi="Times New Roman" w:cs="Times New Roman"/>
              </w:rPr>
              <w:t xml:space="preserve">tiempo de </w:t>
            </w:r>
            <w:proofErr w:type="spellStart"/>
            <w:r w:rsidRPr="00E01967">
              <w:rPr>
                <w:rFonts w:ascii="Times New Roman" w:eastAsia="Times New Roman" w:hAnsi="Times New Roman" w:cs="Times New Roman"/>
              </w:rPr>
              <w:t>refresh</w:t>
            </w:r>
            <w:proofErr w:type="spellEnd"/>
            <w:r w:rsidRPr="00E01967">
              <w:rPr>
                <w:rFonts w:ascii="Times New Roman" w:eastAsia="Times New Roman" w:hAnsi="Times New Roman" w:cs="Times New Roman"/>
              </w:rPr>
              <w:t xml:space="preserve"> y costo</w:t>
            </w:r>
          </w:p>
        </w:tc>
        <w:tc>
          <w:tcPr>
            <w:tcW w:w="2835" w:type="dxa"/>
          </w:tcPr>
          <w:p w14:paraId="7E11DF7A" w14:textId="12909989"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 xml:space="preserve">El </w:t>
            </w:r>
            <w:proofErr w:type="spellStart"/>
            <w:r w:rsidRPr="00E01967">
              <w:rPr>
                <w:rFonts w:ascii="Times New Roman" w:eastAsia="Times New Roman" w:hAnsi="Times New Roman" w:cs="Times New Roman"/>
              </w:rPr>
              <w:t>dashboard</w:t>
            </w:r>
            <w:proofErr w:type="spellEnd"/>
            <w:r w:rsidRPr="00E01967">
              <w:rPr>
                <w:rFonts w:ascii="Times New Roman" w:eastAsia="Times New Roman" w:hAnsi="Times New Roman" w:cs="Times New Roman"/>
              </w:rPr>
              <w:t xml:space="preserve"> tiene hasta ~10 s de retraso</w:t>
            </w:r>
          </w:p>
        </w:tc>
      </w:tr>
      <w:tr w:rsidR="00E91D56" w14:paraId="448A47C5" w14:textId="77777777" w:rsidTr="00E91D56">
        <w:tc>
          <w:tcPr>
            <w:tcW w:w="3280" w:type="dxa"/>
          </w:tcPr>
          <w:p w14:paraId="2A7CD28C" w14:textId="7FA24F56"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Métricas de proceso limitadas a 4</w:t>
            </w:r>
          </w:p>
        </w:tc>
        <w:tc>
          <w:tcPr>
            <w:tcW w:w="3378" w:type="dxa"/>
          </w:tcPr>
          <w:p w14:paraId="2A008CB7" w14:textId="0B17F127"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Menos series y menos CPU</w:t>
            </w:r>
          </w:p>
        </w:tc>
        <w:tc>
          <w:tcPr>
            <w:tcW w:w="2835" w:type="dxa"/>
          </w:tcPr>
          <w:p w14:paraId="7223052B" w14:textId="68152032" w:rsidR="00E91D56" w:rsidRPr="00E01967" w:rsidRDefault="00E91D56" w:rsidP="00C32DC6">
            <w:pPr>
              <w:jc w:val="center"/>
              <w:rPr>
                <w:rFonts w:ascii="Times New Roman" w:eastAsia="Times New Roman" w:hAnsi="Times New Roman" w:cs="Times New Roman"/>
              </w:rPr>
            </w:pPr>
            <w:r w:rsidRPr="00E01967">
              <w:rPr>
                <w:rFonts w:ascii="Times New Roman" w:eastAsia="Times New Roman" w:hAnsi="Times New Roman" w:cs="Times New Roman"/>
              </w:rPr>
              <w:t>Menos detalle del host</w:t>
            </w:r>
          </w:p>
        </w:tc>
      </w:tr>
    </w:tbl>
    <w:p w14:paraId="4B56EC8D" w14:textId="77777777" w:rsidR="00E01967" w:rsidRDefault="00E01967" w:rsidP="00E20ABE">
      <w:pPr>
        <w:spacing w:after="0" w:line="480" w:lineRule="auto"/>
        <w:jc w:val="both"/>
      </w:pPr>
    </w:p>
    <w:p w14:paraId="6A5564C6" w14:textId="77777777" w:rsidR="00E01967" w:rsidRDefault="00E01967" w:rsidP="00E20ABE">
      <w:pPr>
        <w:spacing w:after="0" w:line="480" w:lineRule="auto"/>
        <w:jc w:val="both"/>
      </w:pPr>
    </w:p>
    <w:p w14:paraId="536C1C0F" w14:textId="798E58B6" w:rsidR="00B802A7" w:rsidRPr="00E01967" w:rsidRDefault="00E94CB3" w:rsidP="00E20ABE">
      <w:pPr>
        <w:spacing w:after="0" w:line="480" w:lineRule="auto"/>
        <w:jc w:val="both"/>
        <w:rPr>
          <w:rFonts w:ascii="Times New Roman" w:eastAsia="Times New Roman" w:hAnsi="Times New Roman" w:cs="Times New Roman"/>
        </w:rPr>
      </w:pPr>
      <w:proofErr w:type="spellStart"/>
      <w:r w:rsidRPr="00E01967">
        <w:rPr>
          <w:rFonts w:ascii="Times New Roman" w:eastAsia="Times New Roman" w:hAnsi="Times New Roman" w:cs="Times New Roman"/>
        </w:rPr>
        <w:t>Collector</w:t>
      </w:r>
      <w:proofErr w:type="spellEnd"/>
      <w:r w:rsidRPr="00E01967">
        <w:rPr>
          <w:rFonts w:ascii="Times New Roman" w:eastAsia="Times New Roman" w:hAnsi="Times New Roman" w:cs="Times New Roman"/>
        </w:rPr>
        <w:t xml:space="preserve"> y Pipeline</w:t>
      </w:r>
    </w:p>
    <w:tbl>
      <w:tblPr>
        <w:tblStyle w:val="Tablaconcuadrcula"/>
        <w:tblW w:w="9493" w:type="dxa"/>
        <w:tblLook w:val="04A0" w:firstRow="1" w:lastRow="0" w:firstColumn="1" w:lastColumn="0" w:noHBand="0" w:noVBand="1"/>
      </w:tblPr>
      <w:tblGrid>
        <w:gridCol w:w="3535"/>
        <w:gridCol w:w="3215"/>
        <w:gridCol w:w="2743"/>
      </w:tblGrid>
      <w:tr w:rsidR="00E94CB3" w:rsidRPr="00E01967" w14:paraId="2EFE1452" w14:textId="77777777" w:rsidTr="00E9578B">
        <w:tc>
          <w:tcPr>
            <w:tcW w:w="3280" w:type="dxa"/>
          </w:tcPr>
          <w:p w14:paraId="2DF44A76" w14:textId="77777777" w:rsidR="00E94CB3" w:rsidRPr="00E01967" w:rsidRDefault="00E94CB3" w:rsidP="00E9578B">
            <w:pPr>
              <w:spacing w:line="480" w:lineRule="auto"/>
              <w:jc w:val="center"/>
              <w:rPr>
                <w:rFonts w:ascii="Times New Roman" w:eastAsia="Times New Roman" w:hAnsi="Times New Roman" w:cs="Times New Roman"/>
              </w:rPr>
            </w:pPr>
            <w:r w:rsidRPr="00E01967">
              <w:rPr>
                <w:rFonts w:ascii="Times New Roman" w:eastAsia="Times New Roman" w:hAnsi="Times New Roman" w:cs="Times New Roman"/>
              </w:rPr>
              <w:t>Decisión</w:t>
            </w:r>
          </w:p>
        </w:tc>
        <w:tc>
          <w:tcPr>
            <w:tcW w:w="3378" w:type="dxa"/>
          </w:tcPr>
          <w:p w14:paraId="0FD9532F" w14:textId="77777777" w:rsidR="00E94CB3" w:rsidRPr="00E01967" w:rsidRDefault="00E94CB3" w:rsidP="00E9578B">
            <w:pPr>
              <w:spacing w:line="480" w:lineRule="auto"/>
              <w:jc w:val="center"/>
              <w:rPr>
                <w:rFonts w:ascii="Times New Roman" w:eastAsia="Times New Roman" w:hAnsi="Times New Roman" w:cs="Times New Roman"/>
              </w:rPr>
            </w:pPr>
            <w:r w:rsidRPr="00E01967">
              <w:rPr>
                <w:rFonts w:ascii="Times New Roman" w:eastAsia="Times New Roman" w:hAnsi="Times New Roman" w:cs="Times New Roman"/>
              </w:rPr>
              <w:t>Justificación</w:t>
            </w:r>
          </w:p>
        </w:tc>
        <w:tc>
          <w:tcPr>
            <w:tcW w:w="2835" w:type="dxa"/>
          </w:tcPr>
          <w:p w14:paraId="1F58DC09" w14:textId="77777777" w:rsidR="00E94CB3" w:rsidRPr="00E01967" w:rsidRDefault="00E94CB3" w:rsidP="00E9578B">
            <w:pPr>
              <w:spacing w:line="480" w:lineRule="auto"/>
              <w:jc w:val="center"/>
              <w:rPr>
                <w:rFonts w:ascii="Times New Roman" w:eastAsia="Times New Roman" w:hAnsi="Times New Roman" w:cs="Times New Roman"/>
              </w:rPr>
            </w:pPr>
            <w:proofErr w:type="spellStart"/>
            <w:r w:rsidRPr="00E01967">
              <w:rPr>
                <w:rFonts w:ascii="Times New Roman" w:eastAsia="Times New Roman" w:hAnsi="Times New Roman" w:cs="Times New Roman"/>
              </w:rPr>
              <w:t>Trade</w:t>
            </w:r>
            <w:proofErr w:type="spellEnd"/>
            <w:r w:rsidRPr="00E01967">
              <w:rPr>
                <w:rFonts w:ascii="Times New Roman" w:eastAsia="Times New Roman" w:hAnsi="Times New Roman" w:cs="Times New Roman"/>
              </w:rPr>
              <w:t>-off</w:t>
            </w:r>
          </w:p>
        </w:tc>
      </w:tr>
      <w:tr w:rsidR="00E94CB3" w:rsidRPr="00E01967" w14:paraId="1356D36D" w14:textId="77777777" w:rsidTr="00E9578B">
        <w:tc>
          <w:tcPr>
            <w:tcW w:w="3280" w:type="dxa"/>
          </w:tcPr>
          <w:p w14:paraId="645E5977" w14:textId="02EB2618" w:rsidR="00E94CB3" w:rsidRPr="00E01967" w:rsidRDefault="00921860" w:rsidP="00E9578B">
            <w:pPr>
              <w:jc w:val="center"/>
              <w:rPr>
                <w:rFonts w:ascii="Times New Roman" w:eastAsia="Times New Roman" w:hAnsi="Times New Roman" w:cs="Times New Roman"/>
              </w:rPr>
            </w:pPr>
            <w:r w:rsidRPr="00E01967">
              <w:rPr>
                <w:rFonts w:ascii="Times New Roman" w:eastAsia="Times New Roman" w:hAnsi="Times New Roman" w:cs="Times New Roman"/>
              </w:rPr>
              <w:t xml:space="preserve">Apps → </w:t>
            </w:r>
            <w:proofErr w:type="spellStart"/>
            <w:r w:rsidRPr="00E01967">
              <w:rPr>
                <w:rFonts w:ascii="Times New Roman" w:eastAsia="Times New Roman" w:hAnsi="Times New Roman" w:cs="Times New Roman"/>
              </w:rPr>
              <w:t>Collector</w:t>
            </w:r>
            <w:proofErr w:type="spellEnd"/>
            <w:r w:rsidRPr="00E01967">
              <w:rPr>
                <w:rFonts w:ascii="Times New Roman" w:eastAsia="Times New Roman" w:hAnsi="Times New Roman" w:cs="Times New Roman"/>
              </w:rPr>
              <w:t xml:space="preserve"> (OTLP </w:t>
            </w:r>
            <w:proofErr w:type="spellStart"/>
            <w:r w:rsidRPr="00E01967">
              <w:rPr>
                <w:rFonts w:ascii="Times New Roman" w:eastAsia="Times New Roman" w:hAnsi="Times New Roman" w:cs="Times New Roman"/>
              </w:rPr>
              <w:t>gRPC</w:t>
            </w:r>
            <w:proofErr w:type="spellEnd"/>
            <w:r w:rsidRPr="00E01967">
              <w:rPr>
                <w:rFonts w:ascii="Times New Roman" w:eastAsia="Times New Roman" w:hAnsi="Times New Roman" w:cs="Times New Roman"/>
              </w:rPr>
              <w:t>)</w:t>
            </w:r>
          </w:p>
        </w:tc>
        <w:tc>
          <w:tcPr>
            <w:tcW w:w="3378" w:type="dxa"/>
          </w:tcPr>
          <w:p w14:paraId="129B159B" w14:textId="42D9A72A" w:rsidR="00E94CB3" w:rsidRPr="00E01967" w:rsidRDefault="00921860" w:rsidP="00E9578B">
            <w:pPr>
              <w:jc w:val="center"/>
              <w:rPr>
                <w:rFonts w:ascii="Times New Roman" w:eastAsia="Times New Roman" w:hAnsi="Times New Roman" w:cs="Times New Roman"/>
              </w:rPr>
            </w:pPr>
            <w:r w:rsidRPr="00E01967">
              <w:rPr>
                <w:rFonts w:ascii="Times New Roman" w:eastAsia="Times New Roman" w:hAnsi="Times New Roman" w:cs="Times New Roman"/>
              </w:rPr>
              <w:t>Desacoplamiento</w:t>
            </w:r>
          </w:p>
        </w:tc>
        <w:tc>
          <w:tcPr>
            <w:tcW w:w="2835" w:type="dxa"/>
          </w:tcPr>
          <w:p w14:paraId="629899F2" w14:textId="308DAADC" w:rsidR="00E94CB3" w:rsidRPr="00E01967" w:rsidRDefault="00DC1944" w:rsidP="00E9578B">
            <w:pPr>
              <w:jc w:val="center"/>
              <w:rPr>
                <w:rFonts w:ascii="Times New Roman" w:eastAsia="Times New Roman" w:hAnsi="Times New Roman" w:cs="Times New Roman"/>
              </w:rPr>
            </w:pPr>
            <w:r w:rsidRPr="00E01967">
              <w:rPr>
                <w:rFonts w:ascii="Times New Roman" w:eastAsia="Times New Roman" w:hAnsi="Times New Roman" w:cs="Times New Roman"/>
              </w:rPr>
              <w:t>Un componente más que operar</w:t>
            </w:r>
          </w:p>
        </w:tc>
      </w:tr>
      <w:tr w:rsidR="00E94CB3" w:rsidRPr="00E01967" w14:paraId="6696B225" w14:textId="77777777" w:rsidTr="00E9578B">
        <w:tc>
          <w:tcPr>
            <w:tcW w:w="3280" w:type="dxa"/>
          </w:tcPr>
          <w:p w14:paraId="04F9AF67" w14:textId="1D5DF734" w:rsidR="00E94CB3" w:rsidRPr="00E01967" w:rsidRDefault="00DC1944" w:rsidP="00E9578B">
            <w:pPr>
              <w:jc w:val="center"/>
              <w:rPr>
                <w:rFonts w:ascii="Times New Roman" w:eastAsia="Times New Roman" w:hAnsi="Times New Roman" w:cs="Times New Roman"/>
              </w:rPr>
            </w:pPr>
            <w:r w:rsidRPr="00E01967">
              <w:rPr>
                <w:rFonts w:ascii="Times New Roman" w:eastAsia="Times New Roman" w:hAnsi="Times New Roman" w:cs="Times New Roman"/>
              </w:rPr>
              <w:t xml:space="preserve">Orden </w:t>
            </w:r>
            <w:proofErr w:type="spellStart"/>
            <w:r w:rsidRPr="00E01967">
              <w:rPr>
                <w:rFonts w:ascii="Times New Roman" w:eastAsia="Times New Roman" w:hAnsi="Times New Roman" w:cs="Times New Roman"/>
              </w:rPr>
              <w:t>memory_limiter</w:t>
            </w:r>
            <w:proofErr w:type="spellEnd"/>
            <w:r w:rsidRPr="00E01967">
              <w:rPr>
                <w:rFonts w:ascii="Times New Roman" w:eastAsia="Times New Roman" w:hAnsi="Times New Roman" w:cs="Times New Roman"/>
              </w:rPr>
              <w:t xml:space="preserve"> → resource → batch</w:t>
            </w:r>
          </w:p>
        </w:tc>
        <w:tc>
          <w:tcPr>
            <w:tcW w:w="3378" w:type="dxa"/>
          </w:tcPr>
          <w:p w14:paraId="79CABBBC" w14:textId="65B7DEF7" w:rsidR="00E94CB3" w:rsidRPr="00E01967" w:rsidRDefault="00D4508D" w:rsidP="00E9578B">
            <w:pPr>
              <w:jc w:val="center"/>
              <w:rPr>
                <w:rFonts w:ascii="Times New Roman" w:eastAsia="Times New Roman" w:hAnsi="Times New Roman" w:cs="Times New Roman"/>
              </w:rPr>
            </w:pPr>
            <w:r w:rsidRPr="00E01967">
              <w:rPr>
                <w:rFonts w:ascii="Times New Roman" w:eastAsia="Times New Roman" w:hAnsi="Times New Roman" w:cs="Times New Roman"/>
              </w:rPr>
              <w:t>Rechazar datos antes de gastar memoria; agrupar al final</w:t>
            </w:r>
          </w:p>
        </w:tc>
        <w:tc>
          <w:tcPr>
            <w:tcW w:w="2835" w:type="dxa"/>
          </w:tcPr>
          <w:p w14:paraId="719119C6" w14:textId="59F19973" w:rsidR="00E94CB3" w:rsidRPr="00E01967" w:rsidRDefault="00E94CB3" w:rsidP="00E9578B">
            <w:pPr>
              <w:jc w:val="center"/>
              <w:rPr>
                <w:rFonts w:ascii="Times New Roman" w:eastAsia="Times New Roman" w:hAnsi="Times New Roman" w:cs="Times New Roman"/>
              </w:rPr>
            </w:pPr>
          </w:p>
        </w:tc>
      </w:tr>
      <w:tr w:rsidR="00E94CB3" w:rsidRPr="00E01967" w14:paraId="4400B7DC" w14:textId="77777777" w:rsidTr="00E9578B">
        <w:tc>
          <w:tcPr>
            <w:tcW w:w="3280" w:type="dxa"/>
          </w:tcPr>
          <w:p w14:paraId="3E3D20F7" w14:textId="12724BDA" w:rsidR="00E94CB3" w:rsidRPr="00E01967" w:rsidRDefault="00D4508D" w:rsidP="00E9578B">
            <w:pPr>
              <w:jc w:val="center"/>
              <w:rPr>
                <w:rFonts w:ascii="Times New Roman" w:eastAsia="Times New Roman" w:hAnsi="Times New Roman" w:cs="Times New Roman"/>
              </w:rPr>
            </w:pPr>
            <w:r w:rsidRPr="00E01967">
              <w:rPr>
                <w:rFonts w:ascii="Times New Roman" w:eastAsia="Times New Roman" w:hAnsi="Times New Roman" w:cs="Times New Roman"/>
              </w:rPr>
              <w:t xml:space="preserve">Métricas: OTLP → Prometheus lee del </w:t>
            </w:r>
            <w:proofErr w:type="spellStart"/>
            <w:r w:rsidRPr="00E01967">
              <w:rPr>
                <w:rFonts w:ascii="Times New Roman" w:eastAsia="Times New Roman" w:hAnsi="Times New Roman" w:cs="Times New Roman"/>
              </w:rPr>
              <w:t>Collector</w:t>
            </w:r>
            <w:proofErr w:type="spellEnd"/>
          </w:p>
        </w:tc>
        <w:tc>
          <w:tcPr>
            <w:tcW w:w="3378" w:type="dxa"/>
          </w:tcPr>
          <w:p w14:paraId="4A26704F" w14:textId="5E851F13" w:rsidR="00E94CB3" w:rsidRPr="00E01967" w:rsidRDefault="00824454" w:rsidP="00E9578B">
            <w:pPr>
              <w:jc w:val="center"/>
              <w:rPr>
                <w:rFonts w:ascii="Times New Roman" w:eastAsia="Times New Roman" w:hAnsi="Times New Roman" w:cs="Times New Roman"/>
              </w:rPr>
            </w:pPr>
            <w:r w:rsidRPr="00E01967">
              <w:rPr>
                <w:rFonts w:ascii="Times New Roman" w:eastAsia="Times New Roman" w:hAnsi="Times New Roman" w:cs="Times New Roman"/>
              </w:rPr>
              <w:t>Un solo punto de lectura; las apps no exponen puertos</w:t>
            </w:r>
          </w:p>
        </w:tc>
        <w:tc>
          <w:tcPr>
            <w:tcW w:w="2835" w:type="dxa"/>
          </w:tcPr>
          <w:p w14:paraId="3FAF529A" w14:textId="382182F3" w:rsidR="00E94CB3" w:rsidRPr="00E01967" w:rsidRDefault="00824454" w:rsidP="00E9578B">
            <w:pPr>
              <w:jc w:val="center"/>
              <w:rPr>
                <w:rFonts w:ascii="Times New Roman" w:eastAsia="Times New Roman" w:hAnsi="Times New Roman" w:cs="Times New Roman"/>
              </w:rPr>
            </w:pPr>
            <w:r w:rsidRPr="00E01967">
              <w:rPr>
                <w:rFonts w:ascii="Times New Roman" w:eastAsia="Times New Roman" w:hAnsi="Times New Roman" w:cs="Times New Roman"/>
              </w:rPr>
              <w:t xml:space="preserve">El </w:t>
            </w:r>
            <w:proofErr w:type="spellStart"/>
            <w:r w:rsidRPr="00E01967">
              <w:rPr>
                <w:rFonts w:ascii="Times New Roman" w:eastAsia="Times New Roman" w:hAnsi="Times New Roman" w:cs="Times New Roman"/>
              </w:rPr>
              <w:t>Collector</w:t>
            </w:r>
            <w:proofErr w:type="spellEnd"/>
            <w:r w:rsidRPr="00E01967">
              <w:rPr>
                <w:rFonts w:ascii="Times New Roman" w:eastAsia="Times New Roman" w:hAnsi="Times New Roman" w:cs="Times New Roman"/>
              </w:rPr>
              <w:t xml:space="preserve"> pasa a ser parte del camino de las métricas</w:t>
            </w:r>
          </w:p>
        </w:tc>
      </w:tr>
      <w:tr w:rsidR="00E94CB3" w:rsidRPr="00E01967" w14:paraId="2B1D102B" w14:textId="77777777" w:rsidTr="00E9578B">
        <w:tc>
          <w:tcPr>
            <w:tcW w:w="3280" w:type="dxa"/>
          </w:tcPr>
          <w:p w14:paraId="6A9A4B8F" w14:textId="7C18BB00" w:rsidR="00E94CB3" w:rsidRPr="00E01967" w:rsidRDefault="002B6BB8" w:rsidP="00E9578B">
            <w:pPr>
              <w:jc w:val="center"/>
              <w:rPr>
                <w:rFonts w:ascii="Times New Roman" w:eastAsia="Times New Roman" w:hAnsi="Times New Roman" w:cs="Times New Roman"/>
              </w:rPr>
            </w:pPr>
            <w:proofErr w:type="spellStart"/>
            <w:r w:rsidRPr="00E01967">
              <w:rPr>
                <w:rFonts w:ascii="Times New Roman" w:eastAsia="Times New Roman" w:hAnsi="Times New Roman" w:cs="Times New Roman"/>
              </w:rPr>
              <w:t>resource_to_telemetry_conversion</w:t>
            </w:r>
            <w:proofErr w:type="spellEnd"/>
          </w:p>
        </w:tc>
        <w:tc>
          <w:tcPr>
            <w:tcW w:w="3378" w:type="dxa"/>
          </w:tcPr>
          <w:p w14:paraId="3C51A895" w14:textId="0561CC6E" w:rsidR="00E94CB3" w:rsidRPr="00E01967" w:rsidRDefault="002B6BB8" w:rsidP="00E9578B">
            <w:pPr>
              <w:jc w:val="center"/>
              <w:rPr>
                <w:rFonts w:ascii="Times New Roman" w:eastAsia="Times New Roman" w:hAnsi="Times New Roman" w:cs="Times New Roman"/>
              </w:rPr>
            </w:pPr>
            <w:proofErr w:type="spellStart"/>
            <w:r w:rsidRPr="00E01967">
              <w:rPr>
                <w:rFonts w:ascii="Times New Roman" w:eastAsia="Times New Roman" w:hAnsi="Times New Roman" w:cs="Times New Roman"/>
              </w:rPr>
              <w:t>service_name</w:t>
            </w:r>
            <w:proofErr w:type="spellEnd"/>
            <w:r w:rsidRPr="00E01967">
              <w:rPr>
                <w:rFonts w:ascii="Times New Roman" w:eastAsia="Times New Roman" w:hAnsi="Times New Roman" w:cs="Times New Roman"/>
              </w:rPr>
              <w:t xml:space="preserve"> queda como etiqueta para filtrar en </w:t>
            </w:r>
            <w:proofErr w:type="spellStart"/>
            <w:r w:rsidRPr="00E01967">
              <w:rPr>
                <w:rFonts w:ascii="Times New Roman" w:eastAsia="Times New Roman" w:hAnsi="Times New Roman" w:cs="Times New Roman"/>
              </w:rPr>
              <w:t>PromQL</w:t>
            </w:r>
            <w:proofErr w:type="spellEnd"/>
          </w:p>
        </w:tc>
        <w:tc>
          <w:tcPr>
            <w:tcW w:w="2835" w:type="dxa"/>
          </w:tcPr>
          <w:p w14:paraId="23BD2ABB" w14:textId="7EA84853" w:rsidR="00E94CB3" w:rsidRPr="00E01967" w:rsidRDefault="002B6BB8" w:rsidP="00E9578B">
            <w:pPr>
              <w:jc w:val="center"/>
              <w:rPr>
                <w:rFonts w:ascii="Times New Roman" w:eastAsia="Times New Roman" w:hAnsi="Times New Roman" w:cs="Times New Roman"/>
              </w:rPr>
            </w:pPr>
            <w:r w:rsidRPr="00E01967">
              <w:rPr>
                <w:rFonts w:ascii="Times New Roman" w:eastAsia="Times New Roman" w:hAnsi="Times New Roman" w:cs="Times New Roman"/>
              </w:rPr>
              <w:t xml:space="preserve">Más etiquetas; </w:t>
            </w:r>
            <w:proofErr w:type="spellStart"/>
            <w:r w:rsidRPr="00E01967">
              <w:rPr>
                <w:rFonts w:ascii="Times New Roman" w:eastAsia="Times New Roman" w:hAnsi="Times New Roman" w:cs="Times New Roman"/>
              </w:rPr>
              <w:t>service.instance.id</w:t>
            </w:r>
            <w:proofErr w:type="spellEnd"/>
            <w:r w:rsidRPr="00E01967">
              <w:rPr>
                <w:rFonts w:ascii="Times New Roman" w:eastAsia="Times New Roman" w:hAnsi="Times New Roman" w:cs="Times New Roman"/>
              </w:rPr>
              <w:t xml:space="preserve"> crea series nuevas en cada reinicio de </w:t>
            </w:r>
            <w:proofErr w:type="spellStart"/>
            <w:r w:rsidRPr="00E01967">
              <w:rPr>
                <w:rFonts w:ascii="Times New Roman" w:eastAsia="Times New Roman" w:hAnsi="Times New Roman" w:cs="Times New Roman"/>
              </w:rPr>
              <w:t>pod</w:t>
            </w:r>
            <w:proofErr w:type="spellEnd"/>
          </w:p>
        </w:tc>
      </w:tr>
      <w:tr w:rsidR="00E94CB3" w:rsidRPr="00E01967" w14:paraId="21CDD7A2" w14:textId="77777777" w:rsidTr="00E9578B">
        <w:tc>
          <w:tcPr>
            <w:tcW w:w="3280" w:type="dxa"/>
          </w:tcPr>
          <w:p w14:paraId="1501F8FF" w14:textId="1FE0181E" w:rsidR="00E94CB3" w:rsidRPr="00E01967" w:rsidRDefault="00E01967" w:rsidP="00E9578B">
            <w:pPr>
              <w:jc w:val="center"/>
              <w:rPr>
                <w:rFonts w:ascii="Times New Roman" w:eastAsia="Times New Roman" w:hAnsi="Times New Roman" w:cs="Times New Roman"/>
              </w:rPr>
            </w:pPr>
            <w:r w:rsidRPr="00E01967">
              <w:rPr>
                <w:rFonts w:ascii="Times New Roman" w:eastAsia="Times New Roman" w:hAnsi="Times New Roman" w:cs="Times New Roman"/>
              </w:rPr>
              <w:t>Telemetría interna en :8888 y panel de la cola del exportador</w:t>
            </w:r>
          </w:p>
        </w:tc>
        <w:tc>
          <w:tcPr>
            <w:tcW w:w="3378" w:type="dxa"/>
          </w:tcPr>
          <w:p w14:paraId="07BA0B08" w14:textId="49D2429C" w:rsidR="00E94CB3" w:rsidRPr="00E01967" w:rsidRDefault="00E01967" w:rsidP="00E9578B">
            <w:pPr>
              <w:jc w:val="center"/>
              <w:rPr>
                <w:rFonts w:ascii="Times New Roman" w:eastAsia="Times New Roman" w:hAnsi="Times New Roman" w:cs="Times New Roman"/>
              </w:rPr>
            </w:pPr>
            <w:r w:rsidRPr="00E01967">
              <w:rPr>
                <w:rFonts w:ascii="Times New Roman" w:eastAsia="Times New Roman" w:hAnsi="Times New Roman" w:cs="Times New Roman"/>
              </w:rPr>
              <w:t xml:space="preserve">La cola detecta una caída de </w:t>
            </w:r>
            <w:proofErr w:type="spellStart"/>
            <w:r w:rsidRPr="00E01967">
              <w:rPr>
                <w:rFonts w:ascii="Times New Roman" w:eastAsia="Times New Roman" w:hAnsi="Times New Roman" w:cs="Times New Roman"/>
              </w:rPr>
              <w:t>backend</w:t>
            </w:r>
            <w:proofErr w:type="spellEnd"/>
            <w:r w:rsidRPr="00E01967">
              <w:rPr>
                <w:rFonts w:ascii="Times New Roman" w:eastAsia="Times New Roman" w:hAnsi="Times New Roman" w:cs="Times New Roman"/>
              </w:rPr>
              <w:t xml:space="preserve"> de inmediato; </w:t>
            </w:r>
            <w:proofErr w:type="spellStart"/>
            <w:r w:rsidRPr="00E01967">
              <w:rPr>
                <w:rFonts w:ascii="Times New Roman" w:eastAsia="Times New Roman" w:hAnsi="Times New Roman" w:cs="Times New Roman"/>
              </w:rPr>
              <w:t>send_failed</w:t>
            </w:r>
            <w:proofErr w:type="spellEnd"/>
            <w:r w:rsidRPr="00E01967">
              <w:rPr>
                <w:rFonts w:ascii="Times New Roman" w:eastAsia="Times New Roman" w:hAnsi="Times New Roman" w:cs="Times New Roman"/>
              </w:rPr>
              <w:t xml:space="preserve"> tarda ~5 min</w:t>
            </w:r>
          </w:p>
        </w:tc>
        <w:tc>
          <w:tcPr>
            <w:tcW w:w="2835" w:type="dxa"/>
          </w:tcPr>
          <w:p w14:paraId="0745F4D2" w14:textId="2252345D" w:rsidR="00E94CB3" w:rsidRPr="00E01967" w:rsidRDefault="00E94CB3" w:rsidP="00E9578B">
            <w:pPr>
              <w:jc w:val="center"/>
              <w:rPr>
                <w:rFonts w:ascii="Times New Roman" w:eastAsia="Times New Roman" w:hAnsi="Times New Roman" w:cs="Times New Roman"/>
              </w:rPr>
            </w:pPr>
          </w:p>
        </w:tc>
      </w:tr>
    </w:tbl>
    <w:p w14:paraId="245DB001" w14:textId="77777777" w:rsidR="00E94CB3" w:rsidRPr="00E01967" w:rsidRDefault="00E94CB3" w:rsidP="00E20ABE">
      <w:pPr>
        <w:spacing w:after="0" w:line="480" w:lineRule="auto"/>
        <w:jc w:val="both"/>
        <w:rPr>
          <w:rFonts w:ascii="Times New Roman" w:eastAsia="Times New Roman" w:hAnsi="Times New Roman" w:cs="Times New Roman"/>
        </w:rPr>
      </w:pPr>
    </w:p>
    <w:p w14:paraId="38AE1DE2" w14:textId="0C29B738" w:rsidR="664C361C" w:rsidRPr="00E01967" w:rsidRDefault="664C361C" w:rsidP="664C361C">
      <w:pPr>
        <w:spacing w:after="0" w:line="480" w:lineRule="auto"/>
        <w:jc w:val="center"/>
        <w:rPr>
          <w:rFonts w:ascii="Times New Roman" w:eastAsia="Times New Roman" w:hAnsi="Times New Roman" w:cs="Times New Roman"/>
        </w:rPr>
      </w:pPr>
    </w:p>
    <w:p w14:paraId="2B67519D" w14:textId="7D8726FE" w:rsidR="00E223BD" w:rsidRPr="00E01967" w:rsidRDefault="009E54C4" w:rsidP="00E223BD">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Plataforma </w:t>
      </w:r>
      <w:r w:rsidR="00E223BD">
        <w:rPr>
          <w:rFonts w:ascii="Times New Roman" w:eastAsia="Times New Roman" w:hAnsi="Times New Roman" w:cs="Times New Roman"/>
        </w:rPr>
        <w:t>GCP</w:t>
      </w:r>
    </w:p>
    <w:tbl>
      <w:tblPr>
        <w:tblStyle w:val="Tablaconcuadrcula"/>
        <w:tblW w:w="9351" w:type="dxa"/>
        <w:tblLook w:val="04A0" w:firstRow="1" w:lastRow="0" w:firstColumn="1" w:lastColumn="0" w:noHBand="0" w:noVBand="1"/>
      </w:tblPr>
      <w:tblGrid>
        <w:gridCol w:w="3535"/>
        <w:gridCol w:w="5816"/>
      </w:tblGrid>
      <w:tr w:rsidR="009E54C4" w:rsidRPr="00E01967" w14:paraId="70D9A491" w14:textId="77777777" w:rsidTr="009E54C4">
        <w:tc>
          <w:tcPr>
            <w:tcW w:w="3535" w:type="dxa"/>
          </w:tcPr>
          <w:p w14:paraId="35B2BD77" w14:textId="77777777" w:rsidR="009E54C4" w:rsidRPr="00E01967" w:rsidRDefault="009E54C4" w:rsidP="00E9578B">
            <w:pPr>
              <w:spacing w:line="480" w:lineRule="auto"/>
              <w:jc w:val="center"/>
              <w:rPr>
                <w:rFonts w:ascii="Times New Roman" w:eastAsia="Times New Roman" w:hAnsi="Times New Roman" w:cs="Times New Roman"/>
              </w:rPr>
            </w:pPr>
            <w:r w:rsidRPr="00E01967">
              <w:rPr>
                <w:rFonts w:ascii="Times New Roman" w:eastAsia="Times New Roman" w:hAnsi="Times New Roman" w:cs="Times New Roman"/>
              </w:rPr>
              <w:t>Decisión</w:t>
            </w:r>
          </w:p>
        </w:tc>
        <w:tc>
          <w:tcPr>
            <w:tcW w:w="5816" w:type="dxa"/>
          </w:tcPr>
          <w:p w14:paraId="251B585F" w14:textId="77777777" w:rsidR="009E54C4" w:rsidRPr="00E01967" w:rsidRDefault="009E54C4" w:rsidP="00E9578B">
            <w:pPr>
              <w:spacing w:line="480" w:lineRule="auto"/>
              <w:jc w:val="center"/>
              <w:rPr>
                <w:rFonts w:ascii="Times New Roman" w:eastAsia="Times New Roman" w:hAnsi="Times New Roman" w:cs="Times New Roman"/>
              </w:rPr>
            </w:pPr>
            <w:r w:rsidRPr="00E01967">
              <w:rPr>
                <w:rFonts w:ascii="Times New Roman" w:eastAsia="Times New Roman" w:hAnsi="Times New Roman" w:cs="Times New Roman"/>
              </w:rPr>
              <w:t>Justificación</w:t>
            </w:r>
          </w:p>
        </w:tc>
      </w:tr>
      <w:tr w:rsidR="009E54C4" w:rsidRPr="00E01967" w14:paraId="08BA42A0" w14:textId="77777777" w:rsidTr="009E54C4">
        <w:tc>
          <w:tcPr>
            <w:tcW w:w="3535" w:type="dxa"/>
          </w:tcPr>
          <w:p w14:paraId="688B44C3" w14:textId="15165F3F" w:rsidR="009E54C4" w:rsidRPr="00E01967" w:rsidRDefault="009E54C4" w:rsidP="00E9578B">
            <w:pPr>
              <w:jc w:val="center"/>
              <w:rPr>
                <w:rFonts w:ascii="Times New Roman" w:eastAsia="Times New Roman" w:hAnsi="Times New Roman" w:cs="Times New Roman"/>
              </w:rPr>
            </w:pPr>
            <w:r w:rsidRPr="009E54C4">
              <w:rPr>
                <w:rFonts w:ascii="Times New Roman" w:eastAsia="Times New Roman" w:hAnsi="Times New Roman" w:cs="Times New Roman"/>
              </w:rPr>
              <w:t xml:space="preserve">GKE </w:t>
            </w:r>
            <w:proofErr w:type="spellStart"/>
            <w:r w:rsidRPr="009E54C4">
              <w:rPr>
                <w:rFonts w:ascii="Times New Roman" w:eastAsia="Times New Roman" w:hAnsi="Times New Roman" w:cs="Times New Roman"/>
              </w:rPr>
              <w:t>Autopilot</w:t>
            </w:r>
            <w:proofErr w:type="spellEnd"/>
          </w:p>
        </w:tc>
        <w:tc>
          <w:tcPr>
            <w:tcW w:w="5816" w:type="dxa"/>
          </w:tcPr>
          <w:p w14:paraId="41D9D0DF" w14:textId="4FAA0F7C" w:rsidR="009E54C4" w:rsidRPr="00E01967" w:rsidRDefault="009E54C4" w:rsidP="00E9578B">
            <w:pPr>
              <w:jc w:val="center"/>
              <w:rPr>
                <w:rFonts w:ascii="Times New Roman" w:eastAsia="Times New Roman" w:hAnsi="Times New Roman" w:cs="Times New Roman"/>
              </w:rPr>
            </w:pPr>
            <w:r w:rsidRPr="009E54C4">
              <w:rPr>
                <w:rFonts w:ascii="Times New Roman" w:eastAsia="Times New Roman" w:hAnsi="Times New Roman" w:cs="Times New Roman"/>
              </w:rPr>
              <w:t xml:space="preserve">Jaeger y Prometheus necesitan estar siempre encendidos y tener direcciones internas fijas; </w:t>
            </w:r>
            <w:proofErr w:type="spellStart"/>
            <w:r w:rsidRPr="009E54C4">
              <w:rPr>
                <w:rFonts w:ascii="Times New Roman" w:eastAsia="Times New Roman" w:hAnsi="Times New Roman" w:cs="Times New Roman"/>
              </w:rPr>
              <w:t>Autopilot</w:t>
            </w:r>
            <w:proofErr w:type="spellEnd"/>
            <w:r w:rsidRPr="009E54C4">
              <w:rPr>
                <w:rFonts w:ascii="Times New Roman" w:eastAsia="Times New Roman" w:hAnsi="Times New Roman" w:cs="Times New Roman"/>
              </w:rPr>
              <w:t xml:space="preserve"> evita administrar nodos</w:t>
            </w:r>
          </w:p>
        </w:tc>
      </w:tr>
      <w:tr w:rsidR="009E54C4" w:rsidRPr="00E01967" w14:paraId="4EF3C41D" w14:textId="77777777" w:rsidTr="009E54C4">
        <w:tc>
          <w:tcPr>
            <w:tcW w:w="3535" w:type="dxa"/>
          </w:tcPr>
          <w:p w14:paraId="6C9AA893" w14:textId="009267C2" w:rsidR="009E54C4" w:rsidRPr="00E223BD" w:rsidRDefault="00237AA2" w:rsidP="00E9578B">
            <w:pPr>
              <w:jc w:val="center"/>
              <w:rPr>
                <w:rFonts w:ascii="Times New Roman" w:eastAsia="Times New Roman" w:hAnsi="Times New Roman" w:cs="Times New Roman"/>
                <w:lang w:val="en-US"/>
              </w:rPr>
            </w:pPr>
            <w:r w:rsidRPr="00237AA2">
              <w:rPr>
                <w:rFonts w:ascii="Times New Roman" w:eastAsia="Times New Roman" w:hAnsi="Times New Roman" w:cs="Times New Roman"/>
                <w:lang w:val="en-US"/>
              </w:rPr>
              <w:t>Cloud Logging</w:t>
            </w:r>
          </w:p>
        </w:tc>
        <w:tc>
          <w:tcPr>
            <w:tcW w:w="5816" w:type="dxa"/>
          </w:tcPr>
          <w:p w14:paraId="0441EEF1" w14:textId="48280AEE" w:rsidR="009E54C4" w:rsidRPr="00E01967" w:rsidRDefault="00237AA2" w:rsidP="00E9578B">
            <w:pPr>
              <w:jc w:val="center"/>
              <w:rPr>
                <w:rFonts w:ascii="Times New Roman" w:eastAsia="Times New Roman" w:hAnsi="Times New Roman" w:cs="Times New Roman"/>
              </w:rPr>
            </w:pPr>
            <w:r w:rsidRPr="00237AA2">
              <w:rPr>
                <w:rFonts w:ascii="Times New Roman" w:eastAsia="Times New Roman" w:hAnsi="Times New Roman" w:cs="Times New Roman"/>
              </w:rPr>
              <w:t>Nativo en GCP</w:t>
            </w:r>
          </w:p>
        </w:tc>
      </w:tr>
      <w:tr w:rsidR="009E54C4" w:rsidRPr="00E01967" w14:paraId="0B8A7DF3" w14:textId="77777777" w:rsidTr="009E54C4">
        <w:tc>
          <w:tcPr>
            <w:tcW w:w="3535" w:type="dxa"/>
          </w:tcPr>
          <w:p w14:paraId="78B7731C" w14:textId="22943CA7" w:rsidR="009E54C4" w:rsidRPr="00E01967" w:rsidRDefault="00545E9A" w:rsidP="00E9578B">
            <w:pPr>
              <w:jc w:val="center"/>
              <w:rPr>
                <w:rFonts w:ascii="Times New Roman" w:eastAsia="Times New Roman" w:hAnsi="Times New Roman" w:cs="Times New Roman"/>
              </w:rPr>
            </w:pPr>
            <w:proofErr w:type="spellStart"/>
            <w:r w:rsidRPr="00545E9A">
              <w:rPr>
                <w:rFonts w:ascii="Times New Roman" w:eastAsia="Times New Roman" w:hAnsi="Times New Roman" w:cs="Times New Roman"/>
              </w:rPr>
              <w:t>Workload</w:t>
            </w:r>
            <w:proofErr w:type="spellEnd"/>
            <w:r w:rsidRPr="00545E9A">
              <w:rPr>
                <w:rFonts w:ascii="Times New Roman" w:eastAsia="Times New Roman" w:hAnsi="Times New Roman" w:cs="Times New Roman"/>
              </w:rPr>
              <w:t xml:space="preserve"> </w:t>
            </w:r>
            <w:proofErr w:type="spellStart"/>
            <w:r w:rsidRPr="00545E9A">
              <w:rPr>
                <w:rFonts w:ascii="Times New Roman" w:eastAsia="Times New Roman" w:hAnsi="Times New Roman" w:cs="Times New Roman"/>
              </w:rPr>
              <w:t>Identity</w:t>
            </w:r>
            <w:proofErr w:type="spellEnd"/>
          </w:p>
        </w:tc>
        <w:tc>
          <w:tcPr>
            <w:tcW w:w="5816" w:type="dxa"/>
          </w:tcPr>
          <w:p w14:paraId="30C7EC90" w14:textId="06DC4B57" w:rsidR="009E54C4" w:rsidRPr="00E01967" w:rsidRDefault="00545E9A" w:rsidP="00E9578B">
            <w:pPr>
              <w:jc w:val="center"/>
              <w:rPr>
                <w:rFonts w:ascii="Times New Roman" w:eastAsia="Times New Roman" w:hAnsi="Times New Roman" w:cs="Times New Roman"/>
              </w:rPr>
            </w:pPr>
            <w:r w:rsidRPr="00545E9A">
              <w:rPr>
                <w:rFonts w:ascii="Times New Roman" w:eastAsia="Times New Roman" w:hAnsi="Times New Roman" w:cs="Times New Roman"/>
              </w:rPr>
              <w:t xml:space="preserve">Sin claves en el </w:t>
            </w:r>
            <w:proofErr w:type="spellStart"/>
            <w:r w:rsidRPr="00545E9A">
              <w:rPr>
                <w:rFonts w:ascii="Times New Roman" w:eastAsia="Times New Roman" w:hAnsi="Times New Roman" w:cs="Times New Roman"/>
              </w:rPr>
              <w:t>cluster</w:t>
            </w:r>
            <w:proofErr w:type="spellEnd"/>
          </w:p>
        </w:tc>
      </w:tr>
    </w:tbl>
    <w:p w14:paraId="7D5D0333" w14:textId="43195E6D" w:rsidR="664C361C" w:rsidRDefault="664C361C" w:rsidP="664C361C">
      <w:pPr>
        <w:spacing w:after="0" w:line="480" w:lineRule="auto"/>
        <w:jc w:val="both"/>
        <w:rPr>
          <w:rFonts w:ascii="Times New Roman" w:eastAsia="Times New Roman" w:hAnsi="Times New Roman" w:cs="Times New Roman"/>
        </w:rPr>
      </w:pPr>
    </w:p>
    <w:p w14:paraId="4C97B9E0" w14:textId="46E85113" w:rsidR="00710FE6" w:rsidRDefault="00710FE6" w:rsidP="00710FE6">
      <w:pPr>
        <w:spacing w:after="0"/>
        <w:jc w:val="center"/>
        <w:rPr>
          <w:rFonts w:ascii="Times New Roman" w:eastAsia="Times New Roman" w:hAnsi="Times New Roman" w:cs="Times New Roman"/>
        </w:rPr>
      </w:pPr>
      <w:r w:rsidRPr="00710FE6">
        <w:rPr>
          <w:rFonts w:ascii="Times New Roman" w:eastAsia="Times New Roman" w:hAnsi="Times New Roman" w:cs="Times New Roman"/>
          <w:b/>
          <w:bCs/>
        </w:rPr>
        <w:t>Implementación</w:t>
      </w:r>
    </w:p>
    <w:p w14:paraId="6291D84C" w14:textId="1333335A" w:rsidR="00710FE6" w:rsidRDefault="00B67BD2" w:rsidP="00710F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SLI y </w:t>
      </w:r>
      <w:proofErr w:type="spellStart"/>
      <w:r>
        <w:rPr>
          <w:rFonts w:ascii="Times New Roman" w:eastAsia="Times New Roman" w:hAnsi="Times New Roman" w:cs="Times New Roman"/>
        </w:rPr>
        <w:t>dashboards</w:t>
      </w:r>
      <w:proofErr w:type="spellEnd"/>
    </w:p>
    <w:p w14:paraId="42714864" w14:textId="0509D635" w:rsidR="00B67BD2" w:rsidRPr="00B67BD2" w:rsidRDefault="00B67BD2" w:rsidP="00B67BD2">
      <w:pPr>
        <w:pStyle w:val="Prrafodelista"/>
        <w:numPr>
          <w:ilvl w:val="0"/>
          <w:numId w:val="2"/>
        </w:numPr>
        <w:spacing w:after="0" w:line="480" w:lineRule="auto"/>
        <w:jc w:val="both"/>
        <w:rPr>
          <w:rFonts w:ascii="Times New Roman" w:eastAsia="Times New Roman" w:hAnsi="Times New Roman" w:cs="Times New Roman"/>
        </w:rPr>
      </w:pPr>
      <w:r w:rsidRPr="00B67BD2">
        <w:rPr>
          <w:rFonts w:ascii="Times New Roman" w:eastAsia="Times New Roman" w:hAnsi="Times New Roman" w:cs="Times New Roman"/>
        </w:rPr>
        <w:t xml:space="preserve">4 </w:t>
      </w:r>
      <w:proofErr w:type="spellStart"/>
      <w:r w:rsidRPr="00B67BD2">
        <w:rPr>
          <w:rFonts w:ascii="Times New Roman" w:eastAsia="Times New Roman" w:hAnsi="Times New Roman" w:cs="Times New Roman"/>
        </w:rPr>
        <w:t>SLIs</w:t>
      </w:r>
      <w:proofErr w:type="spellEnd"/>
      <w:r w:rsidRPr="00B67BD2">
        <w:rPr>
          <w:rFonts w:ascii="Times New Roman" w:eastAsia="Times New Roman" w:hAnsi="Times New Roman" w:cs="Times New Roman"/>
        </w:rPr>
        <w:t xml:space="preserve"> basados en las </w:t>
      </w:r>
      <w:proofErr w:type="spellStart"/>
      <w:r w:rsidRPr="00B67BD2">
        <w:rPr>
          <w:rFonts w:ascii="Times New Roman" w:eastAsia="Times New Roman" w:hAnsi="Times New Roman" w:cs="Times New Roman"/>
        </w:rPr>
        <w:t>golden</w:t>
      </w:r>
      <w:proofErr w:type="spellEnd"/>
      <w:r w:rsidRPr="00B67BD2">
        <w:rPr>
          <w:rFonts w:ascii="Times New Roman" w:eastAsia="Times New Roman" w:hAnsi="Times New Roman" w:cs="Times New Roman"/>
        </w:rPr>
        <w:t xml:space="preserve"> </w:t>
      </w:r>
      <w:proofErr w:type="spellStart"/>
      <w:r w:rsidRPr="00B67BD2">
        <w:rPr>
          <w:rFonts w:ascii="Times New Roman" w:eastAsia="Times New Roman" w:hAnsi="Times New Roman" w:cs="Times New Roman"/>
        </w:rPr>
        <w:t>signals</w:t>
      </w:r>
      <w:proofErr w:type="spellEnd"/>
      <w:r w:rsidRPr="00B67BD2">
        <w:rPr>
          <w:rFonts w:ascii="Times New Roman" w:eastAsia="Times New Roman" w:hAnsi="Times New Roman" w:cs="Times New Roman"/>
        </w:rPr>
        <w:t xml:space="preserve"> de Google SRE: tráfico, tasa de errores, latencia (p50/p95/p99) y disponibilidad, con un SLO de 99,5%.</w:t>
      </w:r>
    </w:p>
    <w:p w14:paraId="183929E3" w14:textId="4644CEFB" w:rsidR="00B67BD2" w:rsidRPr="00B67BD2" w:rsidRDefault="00B67BD2" w:rsidP="00B67BD2">
      <w:pPr>
        <w:pStyle w:val="Prrafodelista"/>
        <w:numPr>
          <w:ilvl w:val="0"/>
          <w:numId w:val="2"/>
        </w:numPr>
        <w:spacing w:after="0" w:line="480" w:lineRule="auto"/>
        <w:jc w:val="both"/>
        <w:rPr>
          <w:rFonts w:ascii="Times New Roman" w:eastAsia="Times New Roman" w:hAnsi="Times New Roman" w:cs="Times New Roman"/>
        </w:rPr>
      </w:pPr>
      <w:r w:rsidRPr="00B67BD2">
        <w:rPr>
          <w:rFonts w:ascii="Times New Roman" w:eastAsia="Times New Roman" w:hAnsi="Times New Roman" w:cs="Times New Roman"/>
        </w:rPr>
        <w:t xml:space="preserve">CPU de los servicios y del </w:t>
      </w:r>
      <w:proofErr w:type="spellStart"/>
      <w:r w:rsidRPr="00B67BD2">
        <w:rPr>
          <w:rFonts w:ascii="Times New Roman" w:eastAsia="Times New Roman" w:hAnsi="Times New Roman" w:cs="Times New Roman"/>
        </w:rPr>
        <w:t>Collector</w:t>
      </w:r>
      <w:proofErr w:type="spellEnd"/>
      <w:r w:rsidRPr="00B67BD2">
        <w:rPr>
          <w:rFonts w:ascii="Times New Roman" w:eastAsia="Times New Roman" w:hAnsi="Times New Roman" w:cs="Times New Roman"/>
        </w:rPr>
        <w:t>, para ver el costo de la instrumentación.</w:t>
      </w:r>
    </w:p>
    <w:p w14:paraId="39CFD758" w14:textId="3613AF21" w:rsidR="00B67BD2" w:rsidRPr="00B67BD2" w:rsidRDefault="00B67BD2" w:rsidP="00B67BD2">
      <w:pPr>
        <w:pStyle w:val="Prrafodelista"/>
        <w:numPr>
          <w:ilvl w:val="0"/>
          <w:numId w:val="2"/>
        </w:numPr>
        <w:spacing w:after="0" w:line="480" w:lineRule="auto"/>
        <w:jc w:val="both"/>
        <w:rPr>
          <w:rFonts w:ascii="Times New Roman" w:eastAsia="Times New Roman" w:hAnsi="Times New Roman" w:cs="Times New Roman"/>
        </w:rPr>
      </w:pPr>
      <w:r w:rsidRPr="00B67BD2">
        <w:rPr>
          <w:rFonts w:ascii="Times New Roman" w:eastAsia="Times New Roman" w:hAnsi="Times New Roman" w:cs="Times New Roman"/>
        </w:rPr>
        <w:t xml:space="preserve">Errores del </w:t>
      </w:r>
      <w:proofErr w:type="spellStart"/>
      <w:r w:rsidRPr="00B67BD2">
        <w:rPr>
          <w:rFonts w:ascii="Times New Roman" w:eastAsia="Times New Roman" w:hAnsi="Times New Roman" w:cs="Times New Roman"/>
        </w:rPr>
        <w:t>Collector</w:t>
      </w:r>
      <w:proofErr w:type="spellEnd"/>
      <w:r w:rsidRPr="00B67BD2">
        <w:rPr>
          <w:rFonts w:ascii="Times New Roman" w:eastAsia="Times New Roman" w:hAnsi="Times New Roman" w:cs="Times New Roman"/>
        </w:rPr>
        <w:t>, para saber si se está perdiendo telemetría.</w:t>
      </w:r>
    </w:p>
    <w:p w14:paraId="44B8F756" w14:textId="6F763747" w:rsidR="00B67BD2" w:rsidRDefault="00B67BD2" w:rsidP="00B67BD2">
      <w:pPr>
        <w:pStyle w:val="Prrafodelista"/>
        <w:numPr>
          <w:ilvl w:val="0"/>
          <w:numId w:val="2"/>
        </w:numPr>
        <w:spacing w:after="0" w:line="480" w:lineRule="auto"/>
        <w:jc w:val="both"/>
        <w:rPr>
          <w:rFonts w:ascii="Times New Roman" w:eastAsia="Times New Roman" w:hAnsi="Times New Roman" w:cs="Times New Roman"/>
        </w:rPr>
      </w:pPr>
      <w:r w:rsidRPr="00B67BD2">
        <w:rPr>
          <w:rFonts w:ascii="Times New Roman" w:eastAsia="Times New Roman" w:hAnsi="Times New Roman" w:cs="Times New Roman"/>
        </w:rPr>
        <w:t>Inyección de fallos (PAYMENTS_FAILURE_RATE = 2%), para que los paneles de error tengan datos reales y no queden en cero.</w:t>
      </w:r>
    </w:p>
    <w:p w14:paraId="50EF7ADA" w14:textId="11DF6FE7" w:rsidR="00B67BD2" w:rsidRDefault="00226526"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Pruebas</w:t>
      </w:r>
    </w:p>
    <w:p w14:paraId="5129378D" w14:textId="4F6236CC" w:rsidR="00226526" w:rsidRDefault="00226526"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Para la </w:t>
      </w:r>
      <w:r w:rsidR="002D2002">
        <w:rPr>
          <w:rFonts w:ascii="Times New Roman" w:eastAsia="Times New Roman" w:hAnsi="Times New Roman" w:cs="Times New Roman"/>
        </w:rPr>
        <w:t xml:space="preserve">implementación, </w:t>
      </w:r>
      <w:r w:rsidR="00832792">
        <w:rPr>
          <w:rFonts w:ascii="Times New Roman" w:eastAsia="Times New Roman" w:hAnsi="Times New Roman" w:cs="Times New Roman"/>
        </w:rPr>
        <w:t>se cre</w:t>
      </w:r>
      <w:r w:rsidR="007E599E">
        <w:rPr>
          <w:rFonts w:ascii="Times New Roman" w:eastAsia="Times New Roman" w:hAnsi="Times New Roman" w:cs="Times New Roman"/>
        </w:rPr>
        <w:t>ó</w:t>
      </w:r>
      <w:r w:rsidR="00832792">
        <w:rPr>
          <w:rFonts w:ascii="Times New Roman" w:eastAsia="Times New Roman" w:hAnsi="Times New Roman" w:cs="Times New Roman"/>
        </w:rPr>
        <w:t xml:space="preserve"> un proyecto en Google </w:t>
      </w:r>
      <w:proofErr w:type="spellStart"/>
      <w:r w:rsidR="00832792">
        <w:rPr>
          <w:rFonts w:ascii="Times New Roman" w:eastAsia="Times New Roman" w:hAnsi="Times New Roman" w:cs="Times New Roman"/>
        </w:rPr>
        <w:t>cloud</w:t>
      </w:r>
      <w:proofErr w:type="spellEnd"/>
      <w:r w:rsidR="00832792">
        <w:rPr>
          <w:rFonts w:ascii="Times New Roman" w:eastAsia="Times New Roman" w:hAnsi="Times New Roman" w:cs="Times New Roman"/>
        </w:rPr>
        <w:t>, luego se c</w:t>
      </w:r>
      <w:r w:rsidR="00093A12">
        <w:rPr>
          <w:rFonts w:ascii="Times New Roman" w:eastAsia="Times New Roman" w:hAnsi="Times New Roman" w:cs="Times New Roman"/>
        </w:rPr>
        <w:t xml:space="preserve">onfiguro un contenedor de K8S para </w:t>
      </w:r>
      <w:r w:rsidR="00D13955">
        <w:rPr>
          <w:rFonts w:ascii="Times New Roman" w:eastAsia="Times New Roman" w:hAnsi="Times New Roman" w:cs="Times New Roman"/>
        </w:rPr>
        <w:t>más adelante</w:t>
      </w:r>
      <w:r w:rsidR="00093A12">
        <w:rPr>
          <w:rFonts w:ascii="Times New Roman" w:eastAsia="Times New Roman" w:hAnsi="Times New Roman" w:cs="Times New Roman"/>
        </w:rPr>
        <w:t xml:space="preserve"> </w:t>
      </w:r>
      <w:r w:rsidR="00B5103E">
        <w:rPr>
          <w:rFonts w:ascii="Times New Roman" w:eastAsia="Times New Roman" w:hAnsi="Times New Roman" w:cs="Times New Roman"/>
        </w:rPr>
        <w:t xml:space="preserve">en Google </w:t>
      </w:r>
      <w:proofErr w:type="spellStart"/>
      <w:r w:rsidR="00B5103E">
        <w:rPr>
          <w:rFonts w:ascii="Times New Roman" w:eastAsia="Times New Roman" w:hAnsi="Times New Roman" w:cs="Times New Roman"/>
        </w:rPr>
        <w:t>cloud</w:t>
      </w:r>
      <w:proofErr w:type="spellEnd"/>
      <w:r w:rsidR="00B5103E">
        <w:rPr>
          <w:rFonts w:ascii="Times New Roman" w:eastAsia="Times New Roman" w:hAnsi="Times New Roman" w:cs="Times New Roman"/>
        </w:rPr>
        <w:t xml:space="preserve"> desplegar el </w:t>
      </w:r>
      <w:proofErr w:type="spellStart"/>
      <w:r w:rsidR="00B5103E">
        <w:rPr>
          <w:rFonts w:ascii="Times New Roman" w:eastAsia="Times New Roman" w:hAnsi="Times New Roman" w:cs="Times New Roman"/>
        </w:rPr>
        <w:t>cluster</w:t>
      </w:r>
      <w:proofErr w:type="spellEnd"/>
      <w:r w:rsidR="00B5103E">
        <w:rPr>
          <w:rFonts w:ascii="Times New Roman" w:eastAsia="Times New Roman" w:hAnsi="Times New Roman" w:cs="Times New Roman"/>
        </w:rPr>
        <w:t xml:space="preserve"> correspondiente</w:t>
      </w:r>
    </w:p>
    <w:p w14:paraId="419BF958" w14:textId="5C2815FD" w:rsidR="00B5103E" w:rsidRDefault="00B5103E" w:rsidP="00B67BD2">
      <w:pPr>
        <w:spacing w:after="0" w:line="480" w:lineRule="auto"/>
        <w:jc w:val="both"/>
        <w:rPr>
          <w:rFonts w:ascii="Times New Roman" w:eastAsia="Times New Roman" w:hAnsi="Times New Roman" w:cs="Times New Roman"/>
        </w:rPr>
      </w:pPr>
      <w:r w:rsidRPr="00B5103E">
        <w:rPr>
          <w:rFonts w:ascii="Times New Roman" w:eastAsia="Times New Roman" w:hAnsi="Times New Roman" w:cs="Times New Roman"/>
        </w:rPr>
        <w:drawing>
          <wp:inline distT="0" distB="0" distL="0" distR="0" wp14:anchorId="08E0608F" wp14:editId="433797FE">
            <wp:extent cx="5943600" cy="1409065"/>
            <wp:effectExtent l="0" t="0" r="0" b="635"/>
            <wp:docPr id="93938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7977" name=""/>
                    <pic:cNvPicPr/>
                  </pic:nvPicPr>
                  <pic:blipFill>
                    <a:blip r:embed="rId6"/>
                    <a:stretch>
                      <a:fillRect/>
                    </a:stretch>
                  </pic:blipFill>
                  <pic:spPr>
                    <a:xfrm>
                      <a:off x="0" y="0"/>
                      <a:ext cx="5943600" cy="1409065"/>
                    </a:xfrm>
                    <a:prstGeom prst="rect">
                      <a:avLst/>
                    </a:prstGeom>
                  </pic:spPr>
                </pic:pic>
              </a:graphicData>
            </a:graphic>
          </wp:inline>
        </w:drawing>
      </w:r>
    </w:p>
    <w:p w14:paraId="410995A4" w14:textId="39F73AF0" w:rsidR="005818E3" w:rsidRDefault="00723916"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Luego para la prueba e</w:t>
      </w:r>
      <w:r w:rsidR="00E40D84">
        <w:rPr>
          <w:rFonts w:ascii="Times New Roman" w:eastAsia="Times New Roman" w:hAnsi="Times New Roman" w:cs="Times New Roman"/>
        </w:rPr>
        <w:t xml:space="preserve">jecutamos el script load.sh </w:t>
      </w:r>
      <w:r w:rsidR="00FF1504">
        <w:rPr>
          <w:rFonts w:ascii="Times New Roman" w:eastAsia="Times New Roman" w:hAnsi="Times New Roman" w:cs="Times New Roman"/>
        </w:rPr>
        <w:t xml:space="preserve">el cual envía 300 </w:t>
      </w:r>
      <w:proofErr w:type="spellStart"/>
      <w:r w:rsidR="00FF1504">
        <w:rPr>
          <w:rFonts w:ascii="Times New Roman" w:eastAsia="Times New Roman" w:hAnsi="Times New Roman" w:cs="Times New Roman"/>
        </w:rPr>
        <w:t>request</w:t>
      </w:r>
      <w:proofErr w:type="spellEnd"/>
      <w:r w:rsidR="00486CC1">
        <w:rPr>
          <w:rFonts w:ascii="Times New Roman" w:eastAsia="Times New Roman" w:hAnsi="Times New Roman" w:cs="Times New Roman"/>
        </w:rPr>
        <w:t xml:space="preserve"> al servicio de </w:t>
      </w:r>
      <w:proofErr w:type="spellStart"/>
      <w:r w:rsidR="00486CC1">
        <w:rPr>
          <w:rFonts w:ascii="Times New Roman" w:eastAsia="Times New Roman" w:hAnsi="Times New Roman" w:cs="Times New Roman"/>
        </w:rPr>
        <w:t>orders</w:t>
      </w:r>
      <w:proofErr w:type="spellEnd"/>
      <w:r w:rsidR="00486CC1">
        <w:rPr>
          <w:rFonts w:ascii="Times New Roman" w:eastAsia="Times New Roman" w:hAnsi="Times New Roman" w:cs="Times New Roman"/>
        </w:rPr>
        <w:t xml:space="preserve"> para poder obtener data </w:t>
      </w:r>
      <w:r w:rsidR="00C563D4">
        <w:rPr>
          <w:rFonts w:ascii="Times New Roman" w:eastAsia="Times New Roman" w:hAnsi="Times New Roman" w:cs="Times New Roman"/>
        </w:rPr>
        <w:t xml:space="preserve">y verla en cada uno de los </w:t>
      </w:r>
      <w:proofErr w:type="spellStart"/>
      <w:r w:rsidR="00C563D4">
        <w:rPr>
          <w:rFonts w:ascii="Times New Roman" w:eastAsia="Times New Roman" w:hAnsi="Times New Roman" w:cs="Times New Roman"/>
        </w:rPr>
        <w:t>dashboards</w:t>
      </w:r>
      <w:proofErr w:type="spellEnd"/>
      <w:r w:rsidR="00C563D4">
        <w:rPr>
          <w:rFonts w:ascii="Times New Roman" w:eastAsia="Times New Roman" w:hAnsi="Times New Roman" w:cs="Times New Roman"/>
        </w:rPr>
        <w:t xml:space="preserve"> de los </w:t>
      </w:r>
      <w:proofErr w:type="spellStart"/>
      <w:r w:rsidR="00C563D4">
        <w:rPr>
          <w:rFonts w:ascii="Times New Roman" w:eastAsia="Times New Roman" w:hAnsi="Times New Roman" w:cs="Times New Roman"/>
        </w:rPr>
        <w:t>SLIs</w:t>
      </w:r>
      <w:proofErr w:type="spellEnd"/>
    </w:p>
    <w:p w14:paraId="0745F1AC" w14:textId="3864BEA9" w:rsidR="00C563D4" w:rsidRDefault="003A12E9" w:rsidP="00B67BD2">
      <w:pPr>
        <w:spacing w:after="0" w:line="480" w:lineRule="auto"/>
        <w:jc w:val="both"/>
        <w:rPr>
          <w:rFonts w:ascii="Times New Roman" w:eastAsia="Times New Roman" w:hAnsi="Times New Roman" w:cs="Times New Roman"/>
        </w:rPr>
      </w:pPr>
      <w:r w:rsidRPr="003A12E9">
        <w:rPr>
          <w:rFonts w:ascii="Times New Roman" w:eastAsia="Times New Roman" w:hAnsi="Times New Roman" w:cs="Times New Roman"/>
        </w:rPr>
        <w:lastRenderedPageBreak/>
        <w:drawing>
          <wp:inline distT="0" distB="0" distL="0" distR="0" wp14:anchorId="0BF33E54" wp14:editId="710921B4">
            <wp:extent cx="5943600" cy="549910"/>
            <wp:effectExtent l="0" t="0" r="0" b="0"/>
            <wp:docPr id="85101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17265" name=""/>
                    <pic:cNvPicPr/>
                  </pic:nvPicPr>
                  <pic:blipFill>
                    <a:blip r:embed="rId7"/>
                    <a:stretch>
                      <a:fillRect/>
                    </a:stretch>
                  </pic:blipFill>
                  <pic:spPr>
                    <a:xfrm>
                      <a:off x="0" y="0"/>
                      <a:ext cx="5943600" cy="549910"/>
                    </a:xfrm>
                    <a:prstGeom prst="rect">
                      <a:avLst/>
                    </a:prstGeom>
                  </pic:spPr>
                </pic:pic>
              </a:graphicData>
            </a:graphic>
          </wp:inline>
        </w:drawing>
      </w:r>
    </w:p>
    <w:p w14:paraId="3AAACA0E" w14:textId="13603245" w:rsidR="007630F0" w:rsidRDefault="00BE764A"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Como resultado de la ejecución tuvimos </w:t>
      </w:r>
      <w:r w:rsidR="003A12E9">
        <w:rPr>
          <w:rFonts w:ascii="Times New Roman" w:eastAsia="Times New Roman" w:hAnsi="Times New Roman" w:cs="Times New Roman"/>
        </w:rPr>
        <w:t>3</w:t>
      </w:r>
      <w:r>
        <w:rPr>
          <w:rFonts w:ascii="Times New Roman" w:eastAsia="Times New Roman" w:hAnsi="Times New Roman" w:cs="Times New Roman"/>
        </w:rPr>
        <w:t xml:space="preserve"> </w:t>
      </w:r>
      <w:proofErr w:type="spellStart"/>
      <w:r>
        <w:rPr>
          <w:rFonts w:ascii="Times New Roman" w:eastAsia="Times New Roman" w:hAnsi="Times New Roman" w:cs="Times New Roman"/>
        </w:rPr>
        <w:t>req</w:t>
      </w:r>
      <w:r w:rsidR="003A12E9">
        <w:rPr>
          <w:rFonts w:ascii="Times New Roman" w:eastAsia="Times New Roman" w:hAnsi="Times New Roman" w:cs="Times New Roman"/>
        </w:rPr>
        <w:t>u</w:t>
      </w:r>
      <w:r>
        <w:rPr>
          <w:rFonts w:ascii="Times New Roman" w:eastAsia="Times New Roman" w:hAnsi="Times New Roman" w:cs="Times New Roman"/>
        </w:rPr>
        <w:t>est</w:t>
      </w:r>
      <w:proofErr w:type="spellEnd"/>
      <w:r>
        <w:rPr>
          <w:rFonts w:ascii="Times New Roman" w:eastAsia="Times New Roman" w:hAnsi="Times New Roman" w:cs="Times New Roman"/>
        </w:rPr>
        <w:t xml:space="preserve"> con error 500 y 29</w:t>
      </w:r>
      <w:r w:rsidR="00C8385F">
        <w:rPr>
          <w:rFonts w:ascii="Times New Roman" w:eastAsia="Times New Roman" w:hAnsi="Times New Roman" w:cs="Times New Roman"/>
        </w:rPr>
        <w:t>7</w:t>
      </w:r>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xml:space="preserve"> exitosos</w:t>
      </w:r>
      <w:r w:rsidR="00AD0C80">
        <w:rPr>
          <w:rFonts w:ascii="Times New Roman" w:eastAsia="Times New Roman" w:hAnsi="Times New Roman" w:cs="Times New Roman"/>
        </w:rPr>
        <w:t xml:space="preserve">. </w:t>
      </w:r>
    </w:p>
    <w:p w14:paraId="3EE14016" w14:textId="645F88AB" w:rsidR="00505AE9" w:rsidRDefault="00505AE9"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Trazas</w:t>
      </w:r>
    </w:p>
    <w:p w14:paraId="7D602277" w14:textId="7BF8B031" w:rsidR="00505AE9" w:rsidRDefault="00505AE9" w:rsidP="00B67BD2">
      <w:pPr>
        <w:spacing w:after="0" w:line="480" w:lineRule="auto"/>
        <w:jc w:val="both"/>
        <w:rPr>
          <w:rFonts w:ascii="Times New Roman" w:eastAsia="Times New Roman" w:hAnsi="Times New Roman" w:cs="Times New Roman"/>
        </w:rPr>
      </w:pPr>
      <w:r w:rsidRPr="00505AE9">
        <w:rPr>
          <w:rFonts w:ascii="Times New Roman" w:eastAsia="Times New Roman" w:hAnsi="Times New Roman" w:cs="Times New Roman"/>
        </w:rPr>
        <w:t>Jaeger UI (GCP)</w:t>
      </w:r>
    </w:p>
    <w:p w14:paraId="3590CD19" w14:textId="1EA58B43" w:rsidR="00505AE9" w:rsidRDefault="00E8477E"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Se valida en Jagger la propagación del contexto entre servicios</w:t>
      </w:r>
    </w:p>
    <w:p w14:paraId="51F2EE9E" w14:textId="52D54ACE" w:rsidR="00E8477E" w:rsidRDefault="007E599E" w:rsidP="007E599E">
      <w:pPr>
        <w:spacing w:after="0" w:line="480" w:lineRule="auto"/>
        <w:jc w:val="center"/>
        <w:rPr>
          <w:rFonts w:ascii="Times New Roman" w:eastAsia="Times New Roman" w:hAnsi="Times New Roman" w:cs="Times New Roman"/>
        </w:rPr>
      </w:pPr>
      <w:r w:rsidRPr="007E599E">
        <w:rPr>
          <w:rFonts w:ascii="Times New Roman" w:eastAsia="Times New Roman" w:hAnsi="Times New Roman" w:cs="Times New Roman"/>
        </w:rPr>
        <w:drawing>
          <wp:inline distT="0" distB="0" distL="0" distR="0" wp14:anchorId="5BA3A816" wp14:editId="195E8920">
            <wp:extent cx="4545690" cy="5232400"/>
            <wp:effectExtent l="0" t="0" r="1270" b="0"/>
            <wp:docPr id="1889530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30149" name=""/>
                    <pic:cNvPicPr/>
                  </pic:nvPicPr>
                  <pic:blipFill>
                    <a:blip r:embed="rId8"/>
                    <a:stretch>
                      <a:fillRect/>
                    </a:stretch>
                  </pic:blipFill>
                  <pic:spPr>
                    <a:xfrm>
                      <a:off x="0" y="0"/>
                      <a:ext cx="4594231" cy="5288274"/>
                    </a:xfrm>
                    <a:prstGeom prst="rect">
                      <a:avLst/>
                    </a:prstGeom>
                  </pic:spPr>
                </pic:pic>
              </a:graphicData>
            </a:graphic>
          </wp:inline>
        </w:drawing>
      </w:r>
    </w:p>
    <w:p w14:paraId="4868E7A1" w14:textId="77777777" w:rsidR="007E599E" w:rsidRDefault="007E599E" w:rsidP="007E599E">
      <w:pPr>
        <w:spacing w:after="0" w:line="480" w:lineRule="auto"/>
        <w:jc w:val="center"/>
        <w:rPr>
          <w:rFonts w:ascii="Times New Roman" w:eastAsia="Times New Roman" w:hAnsi="Times New Roman" w:cs="Times New Roman"/>
        </w:rPr>
      </w:pPr>
    </w:p>
    <w:p w14:paraId="1D7517B2" w14:textId="77777777" w:rsidR="007E599E" w:rsidRDefault="007E599E" w:rsidP="007E599E">
      <w:pPr>
        <w:spacing w:after="0" w:line="480" w:lineRule="auto"/>
        <w:jc w:val="center"/>
        <w:rPr>
          <w:rFonts w:ascii="Times New Roman" w:eastAsia="Times New Roman" w:hAnsi="Times New Roman" w:cs="Times New Roman"/>
        </w:rPr>
      </w:pPr>
    </w:p>
    <w:p w14:paraId="3B2130E6" w14:textId="7D8F1BDF" w:rsidR="008B3D6D" w:rsidRDefault="00151A20"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M</w:t>
      </w:r>
      <w:r w:rsidR="008B3D6D">
        <w:rPr>
          <w:rFonts w:ascii="Times New Roman" w:eastAsia="Times New Roman" w:hAnsi="Times New Roman" w:cs="Times New Roman"/>
        </w:rPr>
        <w:t>étricas</w:t>
      </w:r>
    </w:p>
    <w:p w14:paraId="09FC4340" w14:textId="6E2DD519" w:rsidR="008B3D6D" w:rsidRDefault="008B3D6D"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muestra el resultado de la implementación de las </w:t>
      </w:r>
      <w:r w:rsidR="00B247AC">
        <w:rPr>
          <w:rFonts w:ascii="Times New Roman" w:eastAsia="Times New Roman" w:hAnsi="Times New Roman" w:cs="Times New Roman"/>
        </w:rPr>
        <w:t xml:space="preserve">métricas de </w:t>
      </w:r>
      <w:r w:rsidR="00B247AC" w:rsidRPr="00B247AC">
        <w:rPr>
          <w:rFonts w:ascii="Times New Roman" w:eastAsia="Times New Roman" w:hAnsi="Times New Roman" w:cs="Times New Roman"/>
        </w:rPr>
        <w:t xml:space="preserve">Prometheus + </w:t>
      </w:r>
      <w:proofErr w:type="spellStart"/>
      <w:r w:rsidR="00B247AC" w:rsidRPr="00B247AC">
        <w:rPr>
          <w:rFonts w:ascii="Times New Roman" w:eastAsia="Times New Roman" w:hAnsi="Times New Roman" w:cs="Times New Roman"/>
        </w:rPr>
        <w:t>Grafana</w:t>
      </w:r>
      <w:proofErr w:type="spellEnd"/>
      <w:r w:rsidR="00B247AC" w:rsidRPr="00B247AC">
        <w:rPr>
          <w:rFonts w:ascii="Times New Roman" w:eastAsia="Times New Roman" w:hAnsi="Times New Roman" w:cs="Times New Roman"/>
        </w:rPr>
        <w:t xml:space="preserve"> </w:t>
      </w:r>
      <w:proofErr w:type="spellStart"/>
      <w:r w:rsidR="00B247AC" w:rsidRPr="00B247AC">
        <w:rPr>
          <w:rFonts w:ascii="Times New Roman" w:eastAsia="Times New Roman" w:hAnsi="Times New Roman" w:cs="Times New Roman"/>
        </w:rPr>
        <w:t>dashboard</w:t>
      </w:r>
      <w:proofErr w:type="spellEnd"/>
      <w:r w:rsidR="00B247AC" w:rsidRPr="00B247AC">
        <w:rPr>
          <w:rFonts w:ascii="Times New Roman" w:eastAsia="Times New Roman" w:hAnsi="Times New Roman" w:cs="Times New Roman"/>
        </w:rPr>
        <w:t xml:space="preserve"> con 6 paneles (4 </w:t>
      </w:r>
      <w:proofErr w:type="spellStart"/>
      <w:r w:rsidR="00B247AC" w:rsidRPr="00B247AC">
        <w:rPr>
          <w:rFonts w:ascii="Times New Roman" w:eastAsia="Times New Roman" w:hAnsi="Times New Roman" w:cs="Times New Roman"/>
        </w:rPr>
        <w:t>SLIs</w:t>
      </w:r>
      <w:proofErr w:type="spellEnd"/>
      <w:r w:rsidR="00B247AC" w:rsidRPr="00B247AC">
        <w:rPr>
          <w:rFonts w:ascii="Times New Roman" w:eastAsia="Times New Roman" w:hAnsi="Times New Roman" w:cs="Times New Roman"/>
        </w:rPr>
        <w:t xml:space="preserve"> + CPU + errores </w:t>
      </w:r>
      <w:proofErr w:type="spellStart"/>
      <w:r w:rsidR="00B247AC" w:rsidRPr="00B247AC">
        <w:rPr>
          <w:rFonts w:ascii="Times New Roman" w:eastAsia="Times New Roman" w:hAnsi="Times New Roman" w:cs="Times New Roman"/>
        </w:rPr>
        <w:t>OTel</w:t>
      </w:r>
      <w:proofErr w:type="spellEnd"/>
      <w:r w:rsidR="00B247AC" w:rsidRPr="00B247AC">
        <w:rPr>
          <w:rFonts w:ascii="Times New Roman" w:eastAsia="Times New Roman" w:hAnsi="Times New Roman" w:cs="Times New Roman"/>
        </w:rPr>
        <w:t xml:space="preserve"> </w:t>
      </w:r>
      <w:proofErr w:type="spellStart"/>
      <w:r w:rsidR="00B247AC" w:rsidRPr="00B247AC">
        <w:rPr>
          <w:rFonts w:ascii="Times New Roman" w:eastAsia="Times New Roman" w:hAnsi="Times New Roman" w:cs="Times New Roman"/>
        </w:rPr>
        <w:t>Collector</w:t>
      </w:r>
      <w:proofErr w:type="spellEnd"/>
      <w:r w:rsidR="00B247AC" w:rsidRPr="00B247AC">
        <w:rPr>
          <w:rFonts w:ascii="Times New Roman" w:eastAsia="Times New Roman" w:hAnsi="Times New Roman" w:cs="Times New Roman"/>
        </w:rPr>
        <w:t>)</w:t>
      </w:r>
    </w:p>
    <w:p w14:paraId="450B4889" w14:textId="0BCEBC65" w:rsidR="00F82BB2" w:rsidRDefault="00B247AC"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SLI 1</w:t>
      </w:r>
      <w:r w:rsidR="00D67388">
        <w:rPr>
          <w:rFonts w:ascii="Times New Roman" w:eastAsia="Times New Roman" w:hAnsi="Times New Roman" w:cs="Times New Roman"/>
        </w:rPr>
        <w:t xml:space="preserve"> Tráfico</w:t>
      </w:r>
    </w:p>
    <w:p w14:paraId="40BB35AA" w14:textId="50DFABB8" w:rsidR="00D67388" w:rsidRDefault="00D67388" w:rsidP="00B67BD2">
      <w:pPr>
        <w:spacing w:after="0" w:line="480" w:lineRule="auto"/>
        <w:jc w:val="both"/>
        <w:rPr>
          <w:rFonts w:ascii="Times New Roman" w:eastAsia="Times New Roman" w:hAnsi="Times New Roman" w:cs="Times New Roman"/>
        </w:rPr>
      </w:pPr>
      <w:r w:rsidRPr="00D67388">
        <w:rPr>
          <w:rFonts w:ascii="Times New Roman" w:eastAsia="Times New Roman" w:hAnsi="Times New Roman" w:cs="Times New Roman"/>
        </w:rPr>
        <w:drawing>
          <wp:inline distT="0" distB="0" distL="0" distR="0" wp14:anchorId="2FCBA2D6" wp14:editId="5AC18C1B">
            <wp:extent cx="5943600" cy="2299335"/>
            <wp:effectExtent l="0" t="0" r="0" b="0"/>
            <wp:docPr id="117388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84049" name=""/>
                    <pic:cNvPicPr/>
                  </pic:nvPicPr>
                  <pic:blipFill>
                    <a:blip r:embed="rId9"/>
                    <a:stretch>
                      <a:fillRect/>
                    </a:stretch>
                  </pic:blipFill>
                  <pic:spPr>
                    <a:xfrm>
                      <a:off x="0" y="0"/>
                      <a:ext cx="5943600" cy="2299335"/>
                    </a:xfrm>
                    <a:prstGeom prst="rect">
                      <a:avLst/>
                    </a:prstGeom>
                  </pic:spPr>
                </pic:pic>
              </a:graphicData>
            </a:graphic>
          </wp:inline>
        </w:drawing>
      </w:r>
    </w:p>
    <w:p w14:paraId="72782107" w14:textId="688DD7EB" w:rsidR="005A6828" w:rsidRDefault="00D67388"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SLI 2 </w:t>
      </w:r>
      <w:r w:rsidR="005A6828">
        <w:rPr>
          <w:rFonts w:ascii="Times New Roman" w:eastAsia="Times New Roman" w:hAnsi="Times New Roman" w:cs="Times New Roman"/>
        </w:rPr>
        <w:t>Tasa de errores</w:t>
      </w:r>
    </w:p>
    <w:p w14:paraId="5A29373F" w14:textId="3D2D752C" w:rsidR="005A6828" w:rsidRDefault="005A6828" w:rsidP="00B67BD2">
      <w:pPr>
        <w:spacing w:after="0" w:line="480" w:lineRule="auto"/>
        <w:jc w:val="both"/>
        <w:rPr>
          <w:rFonts w:ascii="Times New Roman" w:eastAsia="Times New Roman" w:hAnsi="Times New Roman" w:cs="Times New Roman"/>
        </w:rPr>
      </w:pPr>
      <w:r w:rsidRPr="005A6828">
        <w:rPr>
          <w:rFonts w:ascii="Times New Roman" w:eastAsia="Times New Roman" w:hAnsi="Times New Roman" w:cs="Times New Roman"/>
        </w:rPr>
        <w:drawing>
          <wp:inline distT="0" distB="0" distL="0" distR="0" wp14:anchorId="13F4EE1B" wp14:editId="06B61F1D">
            <wp:extent cx="5943600" cy="2285365"/>
            <wp:effectExtent l="0" t="0" r="0" b="635"/>
            <wp:docPr id="38454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45834" name=""/>
                    <pic:cNvPicPr/>
                  </pic:nvPicPr>
                  <pic:blipFill>
                    <a:blip r:embed="rId10"/>
                    <a:stretch>
                      <a:fillRect/>
                    </a:stretch>
                  </pic:blipFill>
                  <pic:spPr>
                    <a:xfrm>
                      <a:off x="0" y="0"/>
                      <a:ext cx="5943600" cy="2285365"/>
                    </a:xfrm>
                    <a:prstGeom prst="rect">
                      <a:avLst/>
                    </a:prstGeom>
                  </pic:spPr>
                </pic:pic>
              </a:graphicData>
            </a:graphic>
          </wp:inline>
        </w:drawing>
      </w:r>
    </w:p>
    <w:p w14:paraId="5442981B" w14:textId="77777777" w:rsidR="005A6828" w:rsidRDefault="005A6828" w:rsidP="00B67BD2">
      <w:pPr>
        <w:spacing w:after="0" w:line="480" w:lineRule="auto"/>
        <w:jc w:val="both"/>
        <w:rPr>
          <w:rFonts w:ascii="Times New Roman" w:eastAsia="Times New Roman" w:hAnsi="Times New Roman" w:cs="Times New Roman"/>
        </w:rPr>
      </w:pPr>
    </w:p>
    <w:p w14:paraId="41F51C78" w14:textId="77777777" w:rsidR="00151A20" w:rsidRDefault="00151A20" w:rsidP="00B67BD2">
      <w:pPr>
        <w:spacing w:after="0" w:line="480" w:lineRule="auto"/>
        <w:jc w:val="both"/>
        <w:rPr>
          <w:rFonts w:ascii="Times New Roman" w:eastAsia="Times New Roman" w:hAnsi="Times New Roman" w:cs="Times New Roman"/>
        </w:rPr>
      </w:pPr>
    </w:p>
    <w:p w14:paraId="2DFC3AC1" w14:textId="77777777" w:rsidR="00151A20" w:rsidRDefault="00151A20" w:rsidP="00B67BD2">
      <w:pPr>
        <w:spacing w:after="0" w:line="480" w:lineRule="auto"/>
        <w:jc w:val="both"/>
        <w:rPr>
          <w:rFonts w:ascii="Times New Roman" w:eastAsia="Times New Roman" w:hAnsi="Times New Roman" w:cs="Times New Roman"/>
        </w:rPr>
      </w:pPr>
    </w:p>
    <w:p w14:paraId="41A8DDA5" w14:textId="77777777" w:rsidR="00151A20" w:rsidRDefault="00151A20" w:rsidP="00B67BD2">
      <w:pPr>
        <w:spacing w:after="0" w:line="480" w:lineRule="auto"/>
        <w:jc w:val="both"/>
        <w:rPr>
          <w:rFonts w:ascii="Times New Roman" w:eastAsia="Times New Roman" w:hAnsi="Times New Roman" w:cs="Times New Roman"/>
        </w:rPr>
      </w:pPr>
    </w:p>
    <w:p w14:paraId="52E7F7C3" w14:textId="5D59ACAF" w:rsidR="005A6828" w:rsidRDefault="005A6828"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SLI 3 Latencia</w:t>
      </w:r>
    </w:p>
    <w:p w14:paraId="04CE75C5" w14:textId="2CFD3B2F" w:rsidR="005A6828" w:rsidRDefault="005A6828" w:rsidP="00B67BD2">
      <w:pPr>
        <w:spacing w:after="0" w:line="480" w:lineRule="auto"/>
        <w:jc w:val="both"/>
        <w:rPr>
          <w:rFonts w:ascii="Times New Roman" w:eastAsia="Times New Roman" w:hAnsi="Times New Roman" w:cs="Times New Roman"/>
        </w:rPr>
      </w:pPr>
      <w:r w:rsidRPr="005A6828">
        <w:rPr>
          <w:rFonts w:ascii="Times New Roman" w:eastAsia="Times New Roman" w:hAnsi="Times New Roman" w:cs="Times New Roman"/>
        </w:rPr>
        <w:drawing>
          <wp:inline distT="0" distB="0" distL="0" distR="0" wp14:anchorId="09D44D79" wp14:editId="053F02C3">
            <wp:extent cx="5943600" cy="2192655"/>
            <wp:effectExtent l="0" t="0" r="0" b="4445"/>
            <wp:docPr id="32561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1955" name=""/>
                    <pic:cNvPicPr/>
                  </pic:nvPicPr>
                  <pic:blipFill>
                    <a:blip r:embed="rId11"/>
                    <a:stretch>
                      <a:fillRect/>
                    </a:stretch>
                  </pic:blipFill>
                  <pic:spPr>
                    <a:xfrm>
                      <a:off x="0" y="0"/>
                      <a:ext cx="5943600" cy="2192655"/>
                    </a:xfrm>
                    <a:prstGeom prst="rect">
                      <a:avLst/>
                    </a:prstGeom>
                  </pic:spPr>
                </pic:pic>
              </a:graphicData>
            </a:graphic>
          </wp:inline>
        </w:drawing>
      </w:r>
    </w:p>
    <w:p w14:paraId="31FB7677" w14:textId="538C206C" w:rsidR="00B247AC" w:rsidRDefault="005A6828"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SLI 4 </w:t>
      </w:r>
      <w:r w:rsidR="004B1E77">
        <w:rPr>
          <w:rFonts w:ascii="Times New Roman" w:eastAsia="Times New Roman" w:hAnsi="Times New Roman" w:cs="Times New Roman"/>
        </w:rPr>
        <w:t>Disponibilidad</w:t>
      </w:r>
    </w:p>
    <w:p w14:paraId="33DE69D0" w14:textId="34EF82A0" w:rsidR="004B1E77" w:rsidRDefault="004B1E77" w:rsidP="00B67BD2">
      <w:pPr>
        <w:spacing w:after="0" w:line="480" w:lineRule="auto"/>
        <w:jc w:val="both"/>
        <w:rPr>
          <w:rFonts w:ascii="Times New Roman" w:eastAsia="Times New Roman" w:hAnsi="Times New Roman" w:cs="Times New Roman"/>
        </w:rPr>
      </w:pPr>
      <w:r w:rsidRPr="004B1E77">
        <w:rPr>
          <w:rFonts w:ascii="Times New Roman" w:eastAsia="Times New Roman" w:hAnsi="Times New Roman" w:cs="Times New Roman"/>
        </w:rPr>
        <w:drawing>
          <wp:inline distT="0" distB="0" distL="0" distR="0" wp14:anchorId="6373141B" wp14:editId="52C4B500">
            <wp:extent cx="5943600" cy="2259965"/>
            <wp:effectExtent l="0" t="0" r="0" b="635"/>
            <wp:docPr id="1862838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8437" name=""/>
                    <pic:cNvPicPr/>
                  </pic:nvPicPr>
                  <pic:blipFill>
                    <a:blip r:embed="rId12"/>
                    <a:stretch>
                      <a:fillRect/>
                    </a:stretch>
                  </pic:blipFill>
                  <pic:spPr>
                    <a:xfrm>
                      <a:off x="0" y="0"/>
                      <a:ext cx="5943600" cy="2259965"/>
                    </a:xfrm>
                    <a:prstGeom prst="rect">
                      <a:avLst/>
                    </a:prstGeom>
                  </pic:spPr>
                </pic:pic>
              </a:graphicData>
            </a:graphic>
          </wp:inline>
        </w:drawing>
      </w:r>
    </w:p>
    <w:p w14:paraId="1934EF5D" w14:textId="6D06BA3A" w:rsidR="004B1E77" w:rsidRDefault="004B1E77"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CPU</w:t>
      </w:r>
    </w:p>
    <w:p w14:paraId="0229228F" w14:textId="55478F85" w:rsidR="004B1E77" w:rsidRDefault="004B1E77" w:rsidP="00B67BD2">
      <w:pPr>
        <w:spacing w:after="0" w:line="480" w:lineRule="auto"/>
        <w:jc w:val="both"/>
        <w:rPr>
          <w:rFonts w:ascii="Times New Roman" w:eastAsia="Times New Roman" w:hAnsi="Times New Roman" w:cs="Times New Roman"/>
        </w:rPr>
      </w:pPr>
      <w:r w:rsidRPr="004B1E77">
        <w:rPr>
          <w:rFonts w:ascii="Times New Roman" w:eastAsia="Times New Roman" w:hAnsi="Times New Roman" w:cs="Times New Roman"/>
        </w:rPr>
        <w:drawing>
          <wp:inline distT="0" distB="0" distL="0" distR="0" wp14:anchorId="3559BBE8" wp14:editId="580E3619">
            <wp:extent cx="5943600" cy="2284095"/>
            <wp:effectExtent l="0" t="0" r="0" b="1905"/>
            <wp:docPr id="802262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2107" name=""/>
                    <pic:cNvPicPr/>
                  </pic:nvPicPr>
                  <pic:blipFill>
                    <a:blip r:embed="rId13"/>
                    <a:stretch>
                      <a:fillRect/>
                    </a:stretch>
                  </pic:blipFill>
                  <pic:spPr>
                    <a:xfrm>
                      <a:off x="0" y="0"/>
                      <a:ext cx="5943600" cy="2284095"/>
                    </a:xfrm>
                    <a:prstGeom prst="rect">
                      <a:avLst/>
                    </a:prstGeom>
                  </pic:spPr>
                </pic:pic>
              </a:graphicData>
            </a:graphic>
          </wp:inline>
        </w:drawing>
      </w:r>
    </w:p>
    <w:p w14:paraId="55AAA0EB" w14:textId="4C0DC75B" w:rsidR="004B1E77" w:rsidRDefault="008A5202" w:rsidP="00B67BD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Errores del </w:t>
      </w:r>
      <w:proofErr w:type="spellStart"/>
      <w:r>
        <w:rPr>
          <w:rFonts w:ascii="Times New Roman" w:eastAsia="Times New Roman" w:hAnsi="Times New Roman" w:cs="Times New Roman"/>
        </w:rPr>
        <w:t>O</w:t>
      </w:r>
      <w:r w:rsidR="006B2C49">
        <w:rPr>
          <w:rFonts w:ascii="Times New Roman" w:eastAsia="Times New Roman" w:hAnsi="Times New Roman" w:cs="Times New Roman"/>
        </w:rPr>
        <w:t>Tel</w:t>
      </w:r>
      <w:proofErr w:type="spellEnd"/>
      <w:r w:rsidR="006B2C49">
        <w:rPr>
          <w:rFonts w:ascii="Times New Roman" w:eastAsia="Times New Roman" w:hAnsi="Times New Roman" w:cs="Times New Roman"/>
        </w:rPr>
        <w:t xml:space="preserve"> </w:t>
      </w:r>
      <w:proofErr w:type="spellStart"/>
      <w:r w:rsidR="006B2C49">
        <w:rPr>
          <w:rFonts w:ascii="Times New Roman" w:eastAsia="Times New Roman" w:hAnsi="Times New Roman" w:cs="Times New Roman"/>
        </w:rPr>
        <w:t>Collector</w:t>
      </w:r>
      <w:proofErr w:type="spellEnd"/>
    </w:p>
    <w:p w14:paraId="3D06DED5" w14:textId="55BC00FF" w:rsidR="006B2C49" w:rsidRDefault="006B2C49" w:rsidP="00B67BD2">
      <w:pPr>
        <w:spacing w:after="0" w:line="480" w:lineRule="auto"/>
        <w:jc w:val="both"/>
        <w:rPr>
          <w:rFonts w:ascii="Times New Roman" w:eastAsia="Times New Roman" w:hAnsi="Times New Roman" w:cs="Times New Roman"/>
        </w:rPr>
      </w:pPr>
      <w:r w:rsidRPr="006B2C49">
        <w:rPr>
          <w:rFonts w:ascii="Times New Roman" w:eastAsia="Times New Roman" w:hAnsi="Times New Roman" w:cs="Times New Roman"/>
        </w:rPr>
        <w:drawing>
          <wp:inline distT="0" distB="0" distL="0" distR="0" wp14:anchorId="287F17AC" wp14:editId="7E5CE50A">
            <wp:extent cx="5943600" cy="2222500"/>
            <wp:effectExtent l="0" t="0" r="0" b="0"/>
            <wp:docPr id="85614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49230" name=""/>
                    <pic:cNvPicPr/>
                  </pic:nvPicPr>
                  <pic:blipFill>
                    <a:blip r:embed="rId14"/>
                    <a:stretch>
                      <a:fillRect/>
                    </a:stretch>
                  </pic:blipFill>
                  <pic:spPr>
                    <a:xfrm>
                      <a:off x="0" y="0"/>
                      <a:ext cx="5943600" cy="2222500"/>
                    </a:xfrm>
                    <a:prstGeom prst="rect">
                      <a:avLst/>
                    </a:prstGeom>
                  </pic:spPr>
                </pic:pic>
              </a:graphicData>
            </a:graphic>
          </wp:inline>
        </w:drawing>
      </w:r>
    </w:p>
    <w:p w14:paraId="3D996FEC" w14:textId="77777777" w:rsidR="006B2C49" w:rsidRPr="00B67BD2" w:rsidRDefault="006B2C49" w:rsidP="00B67BD2">
      <w:pPr>
        <w:spacing w:after="0" w:line="480" w:lineRule="auto"/>
        <w:jc w:val="both"/>
        <w:rPr>
          <w:rFonts w:ascii="Times New Roman" w:eastAsia="Times New Roman" w:hAnsi="Times New Roman" w:cs="Times New Roman"/>
        </w:rPr>
      </w:pPr>
    </w:p>
    <w:p>
      <w:pPr>
        <w:sectPr>
          <w:pgSz w:w="12240" w:h="15840"/>
          <w:pgMar w:top="1440" w:right="1440" w:bottom="1440" w:left="1440" w:header="720" w:footer="720" w:gutter="0"/>
          <w:cols w:space="720"/>
          <w:docGrid w:linePitch="360"/>
        </w:sectPr>
      </w:pPr>
    </w:p>
    <w:p>
      <w:pPr>
        <w:pStyle w:val="JJHeading"/>
      </w:pPr>
      <w:r>
        <w:t>Correlación de logs y trazas en Grafana</w:t>
      </w:r>
    </w:p>
    <w:p>
      <w:pPr>
        <w:pStyle w:val="JJSubheading"/>
      </w:pPr>
      <w:r>
        <w:t>Responsable  Juan José Vélez Álvarez</w:t>
      </w:r>
    </w:p>
    <w:p>
      <w:pPr>
        <w:pStyle w:val="JJBody"/>
      </w:pPr>
      <w:r>
        <w:t>El aporte conecta los logs estructurados de orders-service y payments-service con su traza distribuida y mide el coste de activar OpenTelemetry. La implementación se verificó en un laboratorio local con Docker Desktop el 11 de octubre de 2026. Las evidencias de GKE de las secciones anteriores corresponden al trabajo del equipo; las nuevas mediciones pertenecen exclusivamente al entorno local.</w:t>
      </w:r>
    </w:p>
    <w:p>
      <w:pPr>
        <w:pStyle w:val="JJSubheading"/>
      </w:pPr>
      <w:r>
        <w:t>Diseño del flujo de logs</w:t>
      </w:r>
    </w:p>
    <w:p>
      <w:pPr>
        <w:pStyle w:val="JJBody"/>
      </w:pPr>
      <w:r>
        <w:t>Ambos servicios envían logs por OTLP/gRPC al Collector. El pipeline aplica memory_limiter, resource y batch, y exporta los registros por OTLP/HTTP al endpoint nativo de Loki. Grafana consulta Loki y utiliza un campo derivado para abrir en Jaeger la traza cuyo identificador aparece en cada registro [1, 2].</w:t>
      </w:r>
    </w:p>
    <w:p>
      <w:pPr>
        <w:pStyle w:val="JJBody"/>
      </w:pPr>
      <w:r>
        <w:t>El formateador JSON se aplica a la consola y al handler OTLP. Cada log de negocio contiene timestamp en UTC, service, level, message, event, order_id, trace_id y span_id. El identificador de traza se obtiene del contexto activo; no se genera uno nuevo al registrar el mensaje. Los eventos emitidos fuera de una traza llevan identificadores nulos.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pPr>
            <w:r>
              <w:rPr>
                <w:b/>
                <w:sz w:val="19"/>
              </w:rPr>
              <w:t>Elemento</w:t>
            </w:r>
          </w:p>
        </w:tc>
        <w:tc>
          <w:tcPr>
            <w:tcW w:type="dxa" w:w="61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jc w:val="center"/>
            </w:pPr>
            <w:r>
              <w:rPr>
                <w:b/>
                <w:sz w:val="19"/>
              </w:rPr>
              <w:t>Implementación</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Propagación</w:t>
            </w:r>
          </w:p>
        </w:tc>
        <w:tc>
          <w:tcPr>
            <w:tcW w:type="dxa" w:w="61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W3C traceparent mediante HTTPX y FastAPI</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Logs</w:t>
            </w:r>
          </w:p>
        </w:tc>
        <w:tc>
          <w:tcPr>
            <w:tcW w:type="dxa" w:w="61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OTLP/gRPC → Collector → OTLP/HTTP → Loki</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Trazas</w:t>
            </w:r>
          </w:p>
        </w:tc>
        <w:tc>
          <w:tcPr>
            <w:tcW w:type="dxa" w:w="61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OTLP/gRPC → Collector → Jaeger</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Enlace de logs a trazas</w:t>
            </w:r>
          </w:p>
        </w:tc>
        <w:tc>
          <w:tcPr>
            <w:tcW w:type="dxa" w:w="61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Campo TraceID → datasource UID jaeger</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Enlace de trazas a logs</w:t>
            </w:r>
          </w:p>
        </w:tc>
        <w:tc>
          <w:tcPr>
            <w:tcW w:type="dxa" w:w="61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Consulta Loki filtrada por __span.traceId</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Etiquetas de Loki</w:t>
            </w:r>
          </w:p>
        </w:tc>
        <w:tc>
          <w:tcPr>
            <w:tcW w:type="dxa" w:w="61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service.name y deployment.environment.name</w:t>
            </w:r>
          </w:p>
        </w:tc>
      </w:tr>
    </w:tbl>
    <w:p>
      <w:pPr>
        <w:pStyle w:val="JJCaption"/>
      </w:pPr>
    </w:p>
    <w:p>
      <w:pPr>
        <w:pStyle w:val="JJSubheading"/>
      </w:pPr>
      <w:r>
        <w:t>Decisiones de cardinalidad y alcance</w:t>
      </w:r>
    </w:p>
    <w:p>
      <w:pPr>
        <w:pStyle w:val="JJBody"/>
      </w:pPr>
      <w:r>
        <w:t>El trace_id se conserva como metadato estructurado y dentro del JSON, sin convertirlo en etiqueta de índice de Loki. Cada petición genera un valor distinto; indexarlo multiplicaría los streams. En Prometheus tampoco se añade trace_id a cada serie. Las métricas son agregados de muchas peticiones; la navegación métrica-traza mediante exemplars queda en el alcance de métricas del equipo y no se presenta como validada en este aporte.</w:t>
      </w:r>
    </w:p>
    <w:p>
      <w:pPr>
        <w:pStyle w:val="JJBody"/>
      </w:pPr>
      <w:r>
        <w:t>El overlay compose.juan-jose.yaml usa un proyecto y puertos propios. Mantiene la configuración cloud del equipo separada y permite ejecutar la demostración sin credenciales GCP o AWS. La versión local de Loki usa almacenamiento filesystem y no constituye un despliegue de alta disponibilidad.</w:t>
      </w:r>
    </w:p>
    <w:p>
      <w:r>
        <w:br w:type="page"/>
      </w:r>
    </w:p>
    <w:p>
      <w:pPr>
        <w:pStyle w:val="JJHeading"/>
      </w:pPr>
      <w:r>
        <w:t>Evidencia de propagación W3C</w:t>
      </w:r>
    </w:p>
    <w:p>
      <w:pPr>
        <w:pStyle w:val="JJBody"/>
      </w:pPr>
      <w:r>
        <w:t>La prueba envió una orden con un encabezado traceparent generado para esa petición y comprobó las respuestas de los backends. El trace_id recibido se mantuvo al cruzar la llamada HTTP entre pedidos y pagos. Cada log se vinculó con un span existente de la misma traza y con el mismo order_id [3].</w:t>
      </w:r>
    </w:p>
    <w:p>
      <w:pPr>
        <w:pStyle w:val="JJCode"/>
      </w:pPr>
      <w:r>
        <w:t>Trace ID  d1a1502f734f3700992585ea3fdb7f03</w:t>
      </w:r>
    </w:p>
    <w:p>
      <w:pPr>
        <w:pStyle w:val="JJCode"/>
      </w:pPr>
      <w:r>
        <w:t>Order ID  46d220ae-4e65-4d1a-a68f-b1113c578f72</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pPr>
            <w:r>
              <w:rPr>
                <w:b/>
                <w:sz w:val="19"/>
              </w:rPr>
              <w:t>Servicio</w:t>
            </w:r>
          </w:p>
        </w:tc>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jc w:val="center"/>
            </w:pPr>
            <w:r>
              <w:rPr>
                <w:b/>
                <w:sz w:val="19"/>
              </w:rPr>
              <w:t>Evento</w:t>
            </w:r>
          </w:p>
        </w:tc>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jc w:val="center"/>
            </w:pPr>
            <w:r>
              <w:rPr>
                <w:b/>
                <w:sz w:val="19"/>
              </w:rPr>
              <w:t>Span ID</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orders-service</w:t>
            </w:r>
          </w:p>
        </w:tc>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order.persisted</w:t>
            </w:r>
          </w:p>
        </w:tc>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d8640ae86467387f</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payments-service</w:t>
            </w:r>
          </w:p>
        </w:tc>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payment.authorized</w:t>
            </w:r>
          </w:p>
        </w:tc>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df2742f185f6fc99</w:t>
            </w:r>
          </w:p>
        </w:tc>
      </w:tr>
      <w:tr>
        <w:trPr>
          <w:cantSplit/>
        </w:trPr>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orders-service</w:t>
            </w:r>
          </w:p>
        </w:tc>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order.completed</w:t>
            </w:r>
          </w:p>
        </w:tc>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d8640ae86467387f</w:t>
            </w:r>
          </w:p>
        </w:tc>
      </w:tr>
    </w:tbl>
    <w:p>
      <w:pPr>
        <w:pStyle w:val="JJCaption"/>
      </w:pPr>
    </w:p>
    <w:p>
      <w:pPr>
        <w:pStyle w:val="JJBody"/>
      </w:pPr>
      <w:r>
        <w:t>La prueba encontró 17 spans y 3 logs de negocio. Verificó operaciones SQL y una relación padre-hijo que cruza de orders-service a payments-service. Los span_id de los servicios son distintos porque identifican operaciones distintas; el trace_id común identifica la transacción completa.</w:t>
      </w:r>
    </w:p>
    <w:p>
      <w:r>
        <w:drawing>
          <wp:inline xmlns:a="http://schemas.openxmlformats.org/drawingml/2006/main" xmlns:pic="http://schemas.openxmlformats.org/drawingml/2006/picture">
            <wp:extent cx="5852160" cy="2275840"/>
            <wp:docPr id="1889530150" name="Picture 1889530150"/>
            <wp:cNvGraphicFramePr>
              <a:graphicFrameLocks noChangeAspect="1"/>
            </wp:cNvGraphicFramePr>
            <a:graphic>
              <a:graphicData uri="http://schemas.openxmlformats.org/drawingml/2006/picture">
                <pic:pic>
                  <pic:nvPicPr>
                    <pic:cNvPr id="0" name="traza.png"/>
                    <pic:cNvPicPr/>
                  </pic:nvPicPr>
                  <pic:blipFill>
                    <a:blip r:embed="rId19"/>
                    <a:stretch>
                      <a:fillRect/>
                    </a:stretch>
                  </pic:blipFill>
                  <pic:spPr>
                    <a:xfrm>
                      <a:off x="0" y="0"/>
                      <a:ext cx="5852160" cy="2275840"/>
                    </a:xfrm>
                    <a:prstGeom prst="rect"/>
                  </pic:spPr>
                </pic:pic>
              </a:graphicData>
            </a:graphic>
          </wp:inline>
        </w:drawing>
      </w:r>
    </w:p>
    <w:p>
      <w:pPr>
        <w:pStyle w:val="JJCaption"/>
      </w:pPr>
      <w:r>
        <w:t>Figura 1. Duración de los spans principales de la traza real, reconstruida desde jaeger.json. Se omiten spans internos de envío/recepción ASGI para facilitar la lectura. Es una visualización de datos exportados, no una captura de la interfaz.</w:t>
      </w:r>
    </w:p>
    <w:p>
      <w:pPr>
        <w:pStyle w:val="JJSubheading"/>
      </w:pPr>
      <w:r>
        <w:t>Consulta en Explore</w:t>
      </w:r>
    </w:p>
    <w:p>
      <w:pPr>
        <w:pStyle w:val="JJCode"/>
      </w:pPr>
      <w:r>
        <w:t>{service_name=~"orders-service|payments-service"}</w:t>
        <w:br/>
        <w:t>| trace_id="d1a1502f734f3700992585ea3fdb7f03"</w:t>
      </w:r>
    </w:p>
    <w:p>
      <w:pPr>
        <w:pStyle w:val="JJBody"/>
      </w:pPr>
      <w:r>
        <w:t>En Explore, el datasource Loki consulta los registros y el campo derivado TraceID está configurado para abrir Jaeger. La comprobación por API validó la salud de Loki, la expresión de extracción, el UID de destino y la consulta inversa. La evidencia adjunta acredita correlación en los backends y configuración por API; no acredita una prueba visual del enlace en la interfaz. Los JSON originales permiten auditar los identificadores y las relaciones entre spans.</w:t>
      </w:r>
    </w:p>
    <w:p>
      <w:r>
        <w:br w:type="page"/>
      </w:r>
    </w:p>
    <w:p>
      <w:pPr>
        <w:pStyle w:val="JJHeading"/>
      </w:pPr>
      <w:r>
        <w:t>Metodología del benchmark de overhead</w:t>
      </w:r>
    </w:p>
    <w:p>
      <w:pPr>
        <w:pStyle w:val="JJBody"/>
      </w:pPr>
      <w:r>
        <w:t>Se compararon dos variantes de la misma aplicación e imagen: baseline con OTEL_SDK_DISABLED=true y variante instrumentada con OTEL_SDK_DISABLED=false. La línea base omite la creación de providers, exportadores e instrumentadores; conserva los logs JSON de negocio, las dependencias importadas y las llamadas no-op. Por tanto, el experimento mide el coste incremental de activar la telemetría, no el ahorro de retirar todas sus bibliotecas.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pPr>
            <w:r>
              <w:rPr>
                <w:b/>
                <w:sz w:val="19"/>
              </w:rPr>
              <w:t>Condición</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jc w:val="center"/>
            </w:pPr>
            <w:r>
              <w:rPr>
                <w:b/>
                <w:sz w:val="19"/>
              </w:rPr>
              <w:t>Valor del experimento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Carga y ventana</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50 usuarios concurrentes; 300 s por variante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Calentamiento</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30 s antes de cada ventana medida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Interacción</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POST /orders; petición HTTP a payments y SQL en PostgreSQL</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Tiempo de reflexión</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0,5 a 1,5 s; semilla fija en k6</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Errores artificiales</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PAYMENTS_FAILURE_RATE=0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Trazas</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always_on; ambos servicios instrumentados en variante OTel</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Recursos por servicio</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Límite de 2 CPU y 512 MiB; una instancia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Entorno</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Windows 11; Docker Desktop Linux/WSL2; 16 CPU lógicas visibles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Herramientas</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k6 2.2.0; Docker Engine 27.4.0; Python 3.13 en contenedores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Orden y repeticiones</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Una pareja: baseline seguido de OTel</w:t>
            </w:r>
          </w:p>
        </w:tc>
      </w:tr>
    </w:tbl>
    <w:p>
      <w:pPr>
        <w:pStyle w:val="JJCaption"/>
      </w:pPr>
    </w:p>
    <w:p>
      <w:pPr>
        <w:pStyle w:val="JJBody"/>
      </w:pPr>
      <w:r>
        <w:t>Antes de cada escenario se reiniciaron los servicios y se vaciaron únicamente las tablas del PostgreSQL del proyecto de benchmark. Se aplicó un enfriamiento de 15 segundos y luego el calentamiento. Los fallos de negocio y HTTP se revisaron con checks y un umbral de error menor al 1 %. Las duraciones de calentamiento se guardaron por separado y no entran en el p99 reportado.</w:t>
      </w:r>
    </w:p>
    <w:p>
      <w:pPr>
        <w:pStyle w:val="JJSubheading"/>
      </w:pPr>
      <w:r>
        <w:t>Definición de las medidas</w:t>
      </w:r>
    </w:p>
    <w:p>
      <w:pPr>
        <w:pStyle w:val="JJBody"/>
      </w:pPr>
      <w:r>
        <w:t>k6 calculó el p99 de http_req_duration: envío, espera y recepción de cada petición, sin el establecimiento de conexión [4]. CPU y memoria se muestrearon externamente con docker stats cada aproximadamente cinco segundos, con el mismo procedimiento en ambos modos. Se sumaron pedidos y pagos en cada instante; luego se calcularon media y pico. El uso de CPU puede superar 100 %, porque 100 % equivale a un núcleo lógico.</w:t>
      </w:r>
    </w:p>
    <w:p>
      <w:pPr>
        <w:pStyle w:val="JJBody"/>
      </w:pPr>
      <w:r>
        <w:t>La memoria reportada es uso del contenedor según Docker, que en Linux excluye caché; no se interpreta como RSS del proceso [5]. El Collector se registra por separado. Las muestras incluyen el drenaje de las últimas iteraciones, de hasta 15 segundos, y no incluyen el calentamiento. El generador y los backends comparten el mismo equipo, lo cual limita el aislamiento experimental.</w:t>
      </w:r>
    </w:p>
    <w:p>
      <w:r>
        <w:br w:type="page"/>
      </w:r>
    </w:p>
    <w:p>
      <w:pPr>
        <w:pStyle w:val="JJHeading"/>
      </w:pPr>
      <w:r>
        <w:t>Resultados comparativos del experimento local</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pPr>
            <w:r>
              <w:rPr>
                <w:b/>
                <w:sz w:val="19"/>
              </w:rPr>
              <w:t>Medida</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jc w:val="center"/>
            </w:pPr>
            <w:r>
              <w:rPr>
                <w:b/>
                <w:sz w:val="19"/>
              </w:rPr>
              <w:t>Sin OTel</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jc w:val="center"/>
            </w:pPr>
            <w:r>
              <w:rPr>
                <w:b/>
                <w:sz w:val="19"/>
              </w:rPr>
              <w:t>Con OTel</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jc w:val="center"/>
            </w:pPr>
            <w:r>
              <w:rPr>
                <w:b/>
                <w:sz w:val="19"/>
              </w:rPr>
              <w:t>Diferencia</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p99 de latencia (ms)</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164,65</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255,31</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90,65</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CPU media (% de 1 núcleo)</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44,46</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61,86</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17,41 p.p.</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Memoria media (MiB)</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323,14</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223,36</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-99,78</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Memoria pico (MiB)</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357,98</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271,10</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-86,88</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Memoria total laboratorio (MiB)</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653,63</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876,63</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223,00</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Throughput (req/s)</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47,66</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47,31</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-0,35</w:t>
            </w:r>
          </w:p>
        </w:tc>
      </w:tr>
      <w:tr>
        <w:trPr>
          <w:cantSplit/>
        </w:trPr>
        <w:tc>
          <w:tcPr>
            <w:tcW w:type="dxa" w:w="37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Errores HTTP (%)</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0,00</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0,00</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0,00 p.p.</w:t>
            </w:r>
          </w:p>
        </w:tc>
      </w:tr>
    </w:tbl>
    <w:p>
      <w:pPr>
        <w:pStyle w:val="JJCaption"/>
      </w:pPr>
    </w:p>
    <w:p>
      <w:pPr>
        <w:pStyle w:val="JJBody"/>
      </w:pPr>
      <w:r>
        <w:t>El p99 cambió en 90,65 ms, equivalente a 55,06 % respecto a la línea base. El overhead relativo de CPU fue 39,16 % y la memoria media cambió en -99,78 MiB. Estos valores describen una pareja local y no una constante propia de OpenTelemetry.</w:t>
      </w:r>
    </w:p>
    <w:p>
      <w:pPr>
        <w:pStyle w:val="JJSubheading"/>
      </w:pPr>
      <w:r>
        <w:t>Cálculo de las diferencias</w:t>
      </w:r>
    </w:p>
    <w:p>
      <w:pPr>
        <w:pStyle w:val="JJCode"/>
      </w:pPr>
      <w:r>
        <w:t>Δp99 = p99 con OTel − p99 sin OTel</w:t>
        <w:br/>
        <w:t>CPU overhead (%) = 100 × (CPU con OTel / CPU sin OTel − 1)</w:t>
        <w:br/>
        <w:t>Δmemoria = memoria con OTel − memoria sin OTel</w:t>
      </w:r>
    </w:p>
    <w:p>
      <w:r>
        <w:drawing>
          <wp:inline xmlns:a="http://schemas.openxmlformats.org/drawingml/2006/main" xmlns:pic="http://schemas.openxmlformats.org/drawingml/2006/picture">
            <wp:extent cx="5852160" cy="1755648"/>
            <wp:docPr id="1889530151" name="Picture 1889530151"/>
            <wp:cNvGraphicFramePr>
              <a:graphicFrameLocks noChangeAspect="1"/>
            </wp:cNvGraphicFramePr>
            <a:graphic>
              <a:graphicData uri="http://schemas.openxmlformats.org/drawingml/2006/picture">
                <pic:pic>
                  <pic:nvPicPr>
                    <pic:cNvPr id="0" name="recursos.png"/>
                    <pic:cNvPicPr/>
                  </pic:nvPicPr>
                  <pic:blipFill>
                    <a:blip r:embed="rId20"/>
                    <a:stretch>
                      <a:fillRect/>
                    </a:stretch>
                  </pic:blipFill>
                  <pic:spPr>
                    <a:xfrm>
                      <a:off x="0" y="0"/>
                      <a:ext cx="5852160" cy="1755648"/>
                    </a:xfrm>
                    <a:prstGeom prst="rect"/>
                  </pic:spPr>
                </pic:pic>
              </a:graphicData>
            </a:graphic>
          </wp:inline>
        </w:drawing>
      </w:r>
    </w:p>
    <w:p>
      <w:pPr>
        <w:pStyle w:val="JJCaption"/>
      </w:pPr>
      <w:r>
        <w:t>Figura 2. Suma de CPU y memoria de pedidos y pagos durante las ventanas medidas. Las curvas se alinean por tiempo transcurrido de cada escenario. Fuente: resources.csv.</w:t>
      </w:r>
    </w:p>
    <w:p>
      <w:pPr>
        <w:pStyle w:val="JJBody"/>
      </w:pPr>
      <w:r>
        <w:t>La línea base completó 14,364 peticiones y la variante OTel 14,265. Se obtuvieron 55 y 55 muestras de recursos, respectivamente. El código de salida de k6 y el muestreo determinaron un estado de validación PASS. El Collector consumió en promedio 0,09 % / 0,98 % de CPU y 55,13 / 105,40 MiB, en baseline y OTel.</w:t>
      </w:r>
    </w:p>
    <w:p>
      <w:r>
        <w:br w:type="page"/>
      </w:r>
    </w:p>
    <w:p>
      <w:pPr>
        <w:pStyle w:val="JJHeading"/>
      </w:pPr>
      <w:r>
        <w:t>Interpretación y límites de la evaluación</w:t>
      </w:r>
    </w:p>
    <w:p>
      <w:pPr>
        <w:pStyle w:val="JJBody"/>
      </w:pPr>
      <w:r>
        <w:t>La instrumentación añade creación y procesamiento de spans, enriquecimiento de logs, actualización de métricas, colas de exportación y transporte OTLP. BatchSpanProcessor, BatchLogRecordProcessor y la exportación periódica amortizan el envío, aunque mantienen trabajo en segundo plano. En esta prueba el coste se mide con todos esos componentes activos y muestreo de trazas del 100 %. Un muestreo menor cambiaría el resultado y la cobertura de correlación.</w:t>
      </w:r>
    </w:p>
    <w:p>
      <w:pPr>
        <w:pStyle w:val="JJBody"/>
      </w:pPr>
      <w:r>
        <w:t>El indicador de CPU es relativo a la línea base: no debe confundirse con puntos porcentuales de utilización. La memoria de las dos aplicaciones cambió en -99,78 MiB, mientras la suma de los ocho contenedores del laboratorio cambió en 223,00 MiB. Esta segunda medida incluye PostgreSQL, Collector, Loki, Jaeger, Prometheus y Grafana, y depende de la retención acumulada de telemetría. Separar ambas fronteras evita confundir menor memoria de una aplicación con menor coste total de observabilidad.</w:t>
      </w:r>
    </w:p>
    <w:p>
      <w:pPr>
        <w:pStyle w:val="JJBody"/>
      </w:pPr>
      <w:r>
        <w:t>Una sola pareja no permite atribuir toda diferencia exclusivamente al SDK ni establecer un intervalo de confianza. El calentamiento, el orden baseline/OTel, las cachés, la frecuencia dinámica del procesador y la contención de Windows/WSL2 pueden afectar las colas de latencia. Un valor negativo no demostraría que OTel acelera la aplicación; sería necesario repetir y estudiar la dispersión. El p99 también depende del número de peticiones completadas.</w:t>
      </w:r>
    </w:p>
    <w:p>
      <w:pPr>
        <w:pStyle w:val="JJSubheading"/>
      </w:pPr>
      <w:r>
        <w:t>Repetición y comparación en cloud</w:t>
      </w:r>
    </w:p>
    <w:p>
      <w:pPr>
        <w:pStyle w:val="JJBody"/>
      </w:pPr>
      <w:r>
        <w:t>El comando python benchmark/run.py --repetitions 3 ejecuta parejas alternando el orden A/B y B/A. El analizador conserva cada corrida y calcula la mediana de sus medidas; la mediana de varios p99 se etiqueta como tal y no como un percentil global. Para aumentar la confianza se recomienda separar el generador de carga del sistema observado y mantener fijas las réplicas y los recursos.</w:t>
      </w:r>
    </w:p>
    <w:p>
      <w:pPr>
        <w:pStyle w:val="JJBody"/>
      </w:pPr>
      <w:r>
        <w:t>El repositorio conserva la configuración GKE del equipo. La integración cloud de logs requiere agregar otlphttp/loki al pipeline existente sin retirar googlecloud en GKE ni awscloudwatchlogs en ECS, y aprovisionar el datasource Loki en Grafana. Se debe usar conectividad privada y almacenamiento persistente. Este aporte no acredita un nuevo despliegue ECS ni un benchmark ejecutado en GKE; ambas validaciones deberán realizarse y reportarse por separado.</w:t>
      </w:r>
    </w:p>
    <w:p>
      <w:pPr>
        <w:pStyle w:val="JJSubheading"/>
      </w:pPr>
      <w:r>
        <w:t>Relación con el indicador de desempeño</w:t>
      </w:r>
    </w:p>
    <w:p>
      <w:pPr>
        <w:pStyle w:val="JJBody"/>
      </w:pPr>
      <w:r>
        <w:t>El trace_id permite pasar de un evento de negocio al tramo HTTP o SQL asociado, lo que facilita localizar dónde se produce una falla. La prueba demuestra la unión técnica entre señales, pero no mide una reducción de MTTR ni un aumento de resiliencia: para cuantificar esos beneficios sería necesario diseñar incidentes controlados y medir tiempos de detección y resolución. El benchmark permite evaluar el coste de mantener esa capacidad de diagnóstico.</w:t>
      </w:r>
    </w:p>
    <w:p>
      <w:pPr>
        <w:pStyle w:val="JJSubheading"/>
      </w:pPr>
      <w:r>
        <w:t>Evidencias conservadas</w:t>
      </w:r>
    </w:p>
    <w:p>
      <w:pPr>
        <w:pStyle w:val="JJBody"/>
      </w:pPr>
      <w:r>
        <w:t>La carpeta de resultados contiene los agregados originales de k6, los CSV temporales de recursos, ventanas UTC, versiones, diagnósticos del Collector, comparacion.csv/json/md y las respuestas completas de Loki y Jaeger. El repositorio incluye un script de repetición y pruebas aisladas de los dos modos del SDK. Las capturas originales del despliegue GKE permanecen en las secciones previas del documento.</w:t>
      </w:r>
    </w:p>
    <w:p>
      <w:r>
        <w:br w:type="page"/>
      </w:r>
    </w:p>
    <w:p>
      <w:pPr>
        <w:pStyle w:val="JJHeading"/>
      </w:pPr>
      <w:r>
        <w:t>Reproducción y referencias del aporte</w:t>
      </w:r>
    </w:p>
    <w:p>
      <w:pPr>
        <w:pStyle w:val="JJSubheading"/>
      </w:pPr>
      <w:r>
        <w:t>Pasos para revisar la entrega</w:t>
      </w:r>
    </w:p>
    <w:p>
      <w:pPr>
        <w:pStyle w:val="JJBody"/>
      </w:pPr>
      <w:r>
        <w:t>1. Abra la carpeta otel-python-observability y revise README-JUAN-JOSE.md. El archivo compose.juan-jose.yaml define los puertos y el proyecto aislado del experimento.</w:t>
      </w:r>
    </w:p>
    <w:p>
      <w:pPr>
        <w:pStyle w:val="JJBody"/>
      </w:pPr>
      <w:r>
        <w:t>2. Ejecute python benchmark/run.py con Docker Desktop activo y k6 instalado. El script verifica la correlación, mide ambos escenarios y restaura los servicios con OTel activado.</w:t>
      </w:r>
    </w:p>
    <w:p>
      <w:pPr>
        <w:pStyle w:val="JJBody"/>
      </w:pPr>
      <w:r>
        <w:t>3. Revise benchmark/results/LATEST.txt para identificar la última corrida. Compare summary.json y resources.csv con los cálculos de comparacion.json.</w:t>
      </w:r>
    </w:p>
    <w:p>
      <w:pPr>
        <w:pStyle w:val="JJBody"/>
      </w:pPr>
      <w:r>
        <w:t>4. Abra Grafana en localhost:13000, elija Explore y Loki, y use la consulta con el trace_id de verification.json. Expanda un log y abra Ver traza en Jaeger.</w:t>
      </w:r>
    </w:p>
    <w:p>
      <w:pPr>
        <w:pStyle w:val="JJBody"/>
      </w:pPr>
      <w:r>
        <w:t>5. Conserve una captura de los logs con el trace_id y otra de la traza que muestre pedidos, pagos y SQL. Identifique el entorno y el momento de captura.</w:t>
      </w:r>
    </w:p>
    <w:p>
      <w:pPr>
        <w:pStyle w:val="JJBody"/>
      </w:pPr>
      <w:r>
        <w:t>6. Para detener el laboratorio conservando los volúmenes, ejecute docker compose -p otel-juan-jose -f docker-compose.yml -f compose.juan-jose.yaml stop.</w:t>
      </w:r>
    </w:p>
    <w:p>
      <w:pPr>
        <w:pStyle w:val="JJSubheading"/>
      </w:pPr>
      <w:r>
        <w:t>Archivos principales modificados o incorporados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3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pPr>
            <w:r>
              <w:rPr>
                <w:b/>
                <w:sz w:val="19"/>
              </w:rPr>
              <w:t>Archivo</w:t>
            </w:r>
          </w:p>
        </w:tc>
        <w:tc>
          <w:tcPr>
            <w:tcW w:type="dxa" w:w="48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5EC"/>
          </w:tcPr>
          <w:p>
            <w:pPr>
              <w:pStyle w:val="JJBody"/>
              <w:spacing w:after="0"/>
              <w:jc w:val="center"/>
            </w:pPr>
            <w:r>
              <w:rPr>
                <w:b/>
                <w:sz w:val="19"/>
              </w:rPr>
              <w:t>Propósito</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services/*/app/otel.py</w:t>
            </w:r>
          </w:p>
        </w:tc>
        <w:tc>
          <w:tcPr>
            <w:tcW w:type="dxa" w:w="48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Modo no-op y JSON homogéneo en consola y OTLP</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loki/loki.yaml</w:t>
            </w:r>
          </w:p>
        </w:tc>
        <w:tc>
          <w:tcPr>
            <w:tcW w:type="dxa" w:w="48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Ingesta OTLP y metadatos estructurados</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grafana/juan-jose/datasources.yaml</w:t>
            </w:r>
          </w:p>
        </w:tc>
        <w:tc>
          <w:tcPr>
            <w:tcW w:type="dxa" w:w="48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Enlaces Loki → Jaeger y Jaeger → Loki</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otel-collector-juan-jose.yaml</w:t>
            </w:r>
          </w:p>
        </w:tc>
        <w:tc>
          <w:tcPr>
            <w:tcW w:type="dxa" w:w="48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Envío local de logs a Loki</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benchmark/load.js y run.py</w:t>
            </w:r>
          </w:p>
        </w:tc>
        <w:tc>
          <w:tcPr>
            <w:tcW w:type="dxa" w:w="48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Carga k6 y recolección externa</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pPr>
            <w:r>
              <w:rPr>
                <w:b w:val="0"/>
                <w:sz w:val="19"/>
              </w:rPr>
              <w:t>benchmark/analyze.py</w:t>
            </w:r>
          </w:p>
        </w:tc>
        <w:tc>
          <w:tcPr>
            <w:tcW w:type="dxa" w:w="48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pStyle w:val="JJBody"/>
              <w:spacing w:after="0"/>
              <w:jc w:val="center"/>
            </w:pPr>
            <w:r>
              <w:rPr>
                <w:b w:val="0"/>
                <w:sz w:val="19"/>
              </w:rPr>
              <w:t>Cálculo y tabla comparativa</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pPr>
            <w:r>
              <w:rPr>
                <w:b w:val="0"/>
                <w:sz w:val="19"/>
              </w:rPr>
              <w:t>benchmark/verify_correlation.py</w:t>
            </w:r>
          </w:p>
        </w:tc>
        <w:tc>
          <w:tcPr>
            <w:tcW w:type="dxa" w:w="48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pStyle w:val="JJBody"/>
              <w:spacing w:after="0"/>
              <w:jc w:val="center"/>
            </w:pPr>
            <w:r>
              <w:rPr>
                <w:b w:val="0"/>
                <w:sz w:val="19"/>
              </w:rPr>
              <w:t>Verificación W3C y evidencias de backend</w:t>
            </w:r>
          </w:p>
        </w:tc>
      </w:tr>
    </w:tbl>
    <w:p>
      <w:pPr>
        <w:pStyle w:val="JJCaption"/>
      </w:pPr>
    </w:p>
    <w:p>
      <w:pPr>
        <w:pStyle w:val="JJSubheading"/>
      </w:pPr>
      <w:r>
        <w:t>Referencias</w:t>
      </w:r>
    </w:p>
    <w:p>
      <w:pPr>
        <w:pStyle w:val="JJCaption"/>
      </w:pPr>
      <w:r>
        <w:t>[1] Grafana Labs. Ingesting logs to Loki using OpenTelemetry Collector. https://grafana.com/docs/loki/latest/send-data/otel/</w:t>
      </w:r>
    </w:p>
    <w:p>
      <w:pPr>
        <w:pStyle w:val="JJCaption"/>
      </w:pPr>
      <w:r>
        <w:t>[2] Grafana Labs. Configure the Loki data source. https://grafana.com/docs/grafana/latest/datasources/loki/configure/</w:t>
      </w:r>
    </w:p>
    <w:p>
      <w:pPr>
        <w:pStyle w:val="JJCaption"/>
      </w:pPr>
      <w:r>
        <w:t>[3] W3C. Trace Context. https://www.w3.org/TR/trace-context/</w:t>
      </w:r>
    </w:p>
    <w:p>
      <w:pPr>
        <w:pStyle w:val="JJCaption"/>
      </w:pPr>
      <w:r>
        <w:t>[4] Grafana Labs. k6 built-in metrics. https://grafana.com/docs/k6/latest/using-k6/metrics/reference/</w:t>
      </w:r>
    </w:p>
    <w:p>
      <w:pPr>
        <w:pStyle w:val="JJCaption"/>
      </w:pPr>
      <w:r>
        <w:t>[5] Docker. docker container stats. https://docs.docker.com/reference/cli/docker/container/stats/</w:t>
      </w:r>
    </w:p>
    <w:p>
      <w:pPr>
        <w:pStyle w:val="JJCaption"/>
      </w:pPr>
      <w:r>
        <w:t>Código base del equipo: https://github.com/juansebastian-br/otel-python-observability, commit e1d234c. Documentación técnica consultada el 11 de octubre de 2026.</w:t>
      </w:r>
    </w:p>
    <w:sectPr w:rsidR="006B2C49" w:rsidRPr="00B67BD2">
      <w:headerReference w:type="default" r:id="rId17"/>
      <w:footerReference w:type="default" r:id="rId18"/>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JJCaption"/>
      <w:jc w:val="right"/>
    </w:pPr>
    <w:r>
      <w:t xml:space="preserve">Aporte de Juan José Vélez Álvarez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356FE"/>
    <w:multiLevelType w:val="hybridMultilevel"/>
    <w:tmpl w:val="0BB459B6"/>
    <w:lvl w:ilvl="0" w:tplc="33A80C12">
      <w:start w:val="1"/>
      <w:numFmt w:val="decimal"/>
      <w:lvlText w:val="%1."/>
      <w:lvlJc w:val="left"/>
      <w:pPr>
        <w:ind w:left="720" w:hanging="360"/>
      </w:pPr>
    </w:lvl>
    <w:lvl w:ilvl="1" w:tplc="52B67226">
      <w:start w:val="1"/>
      <w:numFmt w:val="lowerLetter"/>
      <w:lvlText w:val="%2."/>
      <w:lvlJc w:val="left"/>
      <w:pPr>
        <w:ind w:left="1440" w:hanging="360"/>
      </w:pPr>
    </w:lvl>
    <w:lvl w:ilvl="2" w:tplc="8A10FD6C">
      <w:start w:val="1"/>
      <w:numFmt w:val="lowerRoman"/>
      <w:lvlText w:val="%3."/>
      <w:lvlJc w:val="right"/>
      <w:pPr>
        <w:ind w:left="2160" w:hanging="180"/>
      </w:pPr>
    </w:lvl>
    <w:lvl w:ilvl="3" w:tplc="A316331A">
      <w:start w:val="1"/>
      <w:numFmt w:val="decimal"/>
      <w:lvlText w:val="%4."/>
      <w:lvlJc w:val="left"/>
      <w:pPr>
        <w:ind w:left="2880" w:hanging="360"/>
      </w:pPr>
    </w:lvl>
    <w:lvl w:ilvl="4" w:tplc="C0ECB860">
      <w:start w:val="1"/>
      <w:numFmt w:val="lowerLetter"/>
      <w:lvlText w:val="%5."/>
      <w:lvlJc w:val="left"/>
      <w:pPr>
        <w:ind w:left="3600" w:hanging="360"/>
      </w:pPr>
    </w:lvl>
    <w:lvl w:ilvl="5" w:tplc="E85EE81E">
      <w:start w:val="1"/>
      <w:numFmt w:val="lowerRoman"/>
      <w:lvlText w:val="%6."/>
      <w:lvlJc w:val="right"/>
      <w:pPr>
        <w:ind w:left="4320" w:hanging="180"/>
      </w:pPr>
    </w:lvl>
    <w:lvl w:ilvl="6" w:tplc="7EB43970">
      <w:start w:val="1"/>
      <w:numFmt w:val="decimal"/>
      <w:lvlText w:val="%7."/>
      <w:lvlJc w:val="left"/>
      <w:pPr>
        <w:ind w:left="5040" w:hanging="360"/>
      </w:pPr>
    </w:lvl>
    <w:lvl w:ilvl="7" w:tplc="CF6E6C0E">
      <w:start w:val="1"/>
      <w:numFmt w:val="lowerLetter"/>
      <w:lvlText w:val="%8."/>
      <w:lvlJc w:val="left"/>
      <w:pPr>
        <w:ind w:left="5760" w:hanging="360"/>
      </w:pPr>
    </w:lvl>
    <w:lvl w:ilvl="8" w:tplc="F5067DDC">
      <w:start w:val="1"/>
      <w:numFmt w:val="lowerRoman"/>
      <w:lvlText w:val="%9."/>
      <w:lvlJc w:val="right"/>
      <w:pPr>
        <w:ind w:left="6480" w:hanging="180"/>
      </w:pPr>
    </w:lvl>
  </w:abstractNum>
  <w:abstractNum w:abstractNumId="1" w15:restartNumberingAfterBreak="0">
    <w:nsid w:val="4A6E34D5"/>
    <w:multiLevelType w:val="hybridMultilevel"/>
    <w:tmpl w:val="8FFC3138"/>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26535033">
    <w:abstractNumId w:val="0"/>
  </w:num>
  <w:num w:numId="2" w16cid:durableId="5065546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F41D25"/>
    <w:rsid w:val="00093A12"/>
    <w:rsid w:val="000B725F"/>
    <w:rsid w:val="00151A20"/>
    <w:rsid w:val="001E3138"/>
    <w:rsid w:val="00211A69"/>
    <w:rsid w:val="00226526"/>
    <w:rsid w:val="00237AA2"/>
    <w:rsid w:val="002A1325"/>
    <w:rsid w:val="002B6BB8"/>
    <w:rsid w:val="002D2002"/>
    <w:rsid w:val="00356291"/>
    <w:rsid w:val="003A12E9"/>
    <w:rsid w:val="00486CC1"/>
    <w:rsid w:val="004B1E77"/>
    <w:rsid w:val="00505AE9"/>
    <w:rsid w:val="00545E9A"/>
    <w:rsid w:val="005818E3"/>
    <w:rsid w:val="005A6828"/>
    <w:rsid w:val="00684E37"/>
    <w:rsid w:val="006B2C49"/>
    <w:rsid w:val="00710FE6"/>
    <w:rsid w:val="00723916"/>
    <w:rsid w:val="007630F0"/>
    <w:rsid w:val="007E599E"/>
    <w:rsid w:val="00824454"/>
    <w:rsid w:val="00832792"/>
    <w:rsid w:val="008A5202"/>
    <w:rsid w:val="008B3D6D"/>
    <w:rsid w:val="00921860"/>
    <w:rsid w:val="009E54C4"/>
    <w:rsid w:val="00A3CB55"/>
    <w:rsid w:val="00A60FCD"/>
    <w:rsid w:val="00AA534E"/>
    <w:rsid w:val="00AD0C80"/>
    <w:rsid w:val="00B0122A"/>
    <w:rsid w:val="00B247AC"/>
    <w:rsid w:val="00B5103E"/>
    <w:rsid w:val="00B67BD2"/>
    <w:rsid w:val="00B802A7"/>
    <w:rsid w:val="00BE764A"/>
    <w:rsid w:val="00BF5011"/>
    <w:rsid w:val="00C32DC6"/>
    <w:rsid w:val="00C563D4"/>
    <w:rsid w:val="00C8385F"/>
    <w:rsid w:val="00D13955"/>
    <w:rsid w:val="00D23D47"/>
    <w:rsid w:val="00D3FC0F"/>
    <w:rsid w:val="00D4508D"/>
    <w:rsid w:val="00D62EF1"/>
    <w:rsid w:val="00D67388"/>
    <w:rsid w:val="00DC1944"/>
    <w:rsid w:val="00E01967"/>
    <w:rsid w:val="00E20ABE"/>
    <w:rsid w:val="00E223BD"/>
    <w:rsid w:val="00E40D84"/>
    <w:rsid w:val="00E63F07"/>
    <w:rsid w:val="00E72634"/>
    <w:rsid w:val="00E8477E"/>
    <w:rsid w:val="00E91D56"/>
    <w:rsid w:val="00E94CB3"/>
    <w:rsid w:val="00F82BB2"/>
    <w:rsid w:val="00FF1504"/>
    <w:rsid w:val="0CBFFDDC"/>
    <w:rsid w:val="10FE0648"/>
    <w:rsid w:val="1BFCC36E"/>
    <w:rsid w:val="27D22DFB"/>
    <w:rsid w:val="2B05AE6C"/>
    <w:rsid w:val="3B60FE58"/>
    <w:rsid w:val="3D738AD2"/>
    <w:rsid w:val="483FE3EC"/>
    <w:rsid w:val="48929801"/>
    <w:rsid w:val="4A17BCE7"/>
    <w:rsid w:val="51C9ECB9"/>
    <w:rsid w:val="57FB30A5"/>
    <w:rsid w:val="5C010C94"/>
    <w:rsid w:val="5DAA9011"/>
    <w:rsid w:val="62E93A1E"/>
    <w:rsid w:val="64C673B8"/>
    <w:rsid w:val="664C361C"/>
    <w:rsid w:val="69D06A7B"/>
    <w:rsid w:val="69D8FAFD"/>
    <w:rsid w:val="7399BEAE"/>
    <w:rsid w:val="77F41D25"/>
    <w:rsid w:val="7D42F24F"/>
    <w:rsid w:val="7D7F9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5A95"/>
  <w15:chartTrackingRefBased/>
  <w15:docId w15:val="{4FDDF8AC-3232-42FC-B1E4-7BDD309C8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64C361C"/>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64C361C"/>
    <w:pPr>
      <w:ind w:left="720"/>
      <w:contextualSpacing/>
    </w:pPr>
  </w:style>
  <w:style w:type="table" w:styleId="Tablaconcuadrcula">
    <w:name w:val="Table Grid"/>
    <w:basedOn w:val="Tablanormal"/>
    <w:uiPriority w:val="39"/>
    <w:rsid w:val="00E63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JBody">
    <w:name w:val="JJ Body"/>
    <w:pPr>
      <w:spacing w:after="120" w:line="259" w:lineRule="auto"/>
    </w:pPr>
    <w:rPr>
      <w:rFonts w:ascii="Times New Roman" w:hAnsi="Times New Roman"/>
      <w:b w:val="0"/>
      <w:color w:val="000000"/>
      <w:sz w:val="22"/>
    </w:rPr>
  </w:style>
  <w:style w:type="paragraph" w:customStyle="1" w:styleId="JJHeading">
    <w:name w:val="JJ Heading"/>
    <w:pPr>
      <w:keepNext/>
      <w:spacing w:after="120" w:line="259" w:lineRule="auto"/>
    </w:pPr>
    <w:rPr>
      <w:rFonts w:ascii="Times New Roman" w:hAnsi="Times New Roman"/>
      <w:b/>
      <w:color w:val="000000"/>
      <w:sz w:val="32"/>
    </w:rPr>
  </w:style>
  <w:style w:type="paragraph" w:customStyle="1" w:styleId="JJSubheading">
    <w:name w:val="JJ Subheading"/>
    <w:pPr>
      <w:keepNext/>
      <w:spacing w:after="120" w:line="259" w:lineRule="auto"/>
    </w:pPr>
    <w:rPr>
      <w:rFonts w:ascii="Times New Roman" w:hAnsi="Times New Roman"/>
      <w:b/>
      <w:color w:val="000000"/>
      <w:sz w:val="24"/>
    </w:rPr>
  </w:style>
  <w:style w:type="paragraph" w:customStyle="1" w:styleId="JJCaption">
    <w:name w:val="JJ Caption"/>
    <w:pPr>
      <w:spacing w:after="120" w:line="259" w:lineRule="auto"/>
    </w:pPr>
    <w:rPr>
      <w:rFonts w:ascii="Times New Roman" w:hAnsi="Times New Roman"/>
      <w:b w:val="0"/>
      <w:color w:val="000000"/>
      <w:sz w:val="18"/>
    </w:rPr>
  </w:style>
  <w:style w:type="paragraph" w:customStyle="1" w:styleId="JJCode">
    <w:name w:val="JJ Code"/>
    <w:pPr>
      <w:spacing w:after="120" w:line="259" w:lineRule="auto"/>
    </w:pPr>
    <w:rPr>
      <w:rFonts w:ascii="Consolas" w:hAnsi="Consolas"/>
      <w:b w:val="0"/>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675</Words>
  <Characters>3714</Characters>
  <Application>Microsoft Office Word</Application>
  <DocSecurity>0</DocSecurity>
  <Lines>30</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Buitrago Romero</dc:creator>
  <cp:keywords/>
  <dc:description/>
  <cp:lastModifiedBy>Carlos Arturo Salazar Castaneda</cp:lastModifiedBy>
  <cp:revision>59</cp:revision>
  <cp:lastPrinted>2026-10-07T16:36:00Z</cp:lastPrinted>
  <dcterms:created xsi:type="dcterms:W3CDTF">2026-10-07T02:17:00Z</dcterms:created>
  <dcterms:modified xsi:type="dcterms:W3CDTF">2026-10-07T16:40:00Z</dcterms:modified>
</cp:coreProperties>
</file>