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527D19">
        <w:rPr>
          <w:i/>
          <w:color w:val="A6A6A6" w:themeColor="background1" w:themeShade="A6"/>
          <w:sz w:val="20"/>
          <w:szCs w:val="20"/>
        </w:rPr>
        <w:t>CA35{}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ID del paquete funcional y el ID del caso de uso afectado por el requerimiento. Ej: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E3607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E3607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el nombre del caso de uso que se está modificando o creando. Ej: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262202" w:rsidRDefault="00527D19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 xml:space="preserve"> </w:t>
            </w:r>
            <w:r w:rsidR="00262202">
              <w:rPr>
                <w:b/>
                <w:sz w:val="24"/>
                <w:szCs w:val="24"/>
                <w:u w:val="single"/>
              </w:rPr>
              <w:t>(yo como usuario quiero que la calculadora tenga un paréntesis que abre y otro que cierre)</w:t>
            </w:r>
          </w:p>
          <w:p w:rsidR="00262202" w:rsidRDefault="00262202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Calculador/public/index.php</w:t>
            </w:r>
          </w:p>
          <w:p w:rsidR="00D34953" w:rsidRPr="002179CF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A31" w:rsidRDefault="005E4A31" w:rsidP="0050111F">
      <w:pPr>
        <w:spacing w:after="0"/>
      </w:pPr>
      <w:r>
        <w:separator/>
      </w:r>
    </w:p>
  </w:endnote>
  <w:endnote w:type="continuationSeparator" w:id="1">
    <w:p w:rsidR="005E4A31" w:rsidRDefault="005E4A31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E36070" w:rsidRPr="00E36070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E36070" w:rsidRPr="00E36070">
      <w:rPr>
        <w:rFonts w:ascii="Calibri" w:eastAsiaTheme="minorEastAsia" w:hAnsi="Calibri"/>
        <w:sz w:val="16"/>
      </w:rPr>
      <w:fldChar w:fldCharType="separate"/>
    </w:r>
    <w:r w:rsidR="002179CF" w:rsidRPr="002179CF">
      <w:rPr>
        <w:rFonts w:ascii="Calibri" w:eastAsiaTheme="majorEastAsia" w:hAnsi="Calibri" w:cstheme="majorBidi"/>
        <w:noProof/>
        <w:sz w:val="16"/>
        <w:lang w:val="es-ES"/>
      </w:rPr>
      <w:t>1</w:t>
    </w:r>
    <w:r w:rsidR="00E36070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A31" w:rsidRDefault="005E4A31" w:rsidP="0050111F">
      <w:pPr>
        <w:spacing w:after="0"/>
      </w:pPr>
      <w:r>
        <w:separator/>
      </w:r>
    </w:p>
  </w:footnote>
  <w:footnote w:type="continuationSeparator" w:id="1">
    <w:p w:rsidR="005E4A31" w:rsidRDefault="005E4A31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179CF"/>
    <w:rsid w:val="00240C43"/>
    <w:rsid w:val="00262202"/>
    <w:rsid w:val="002E1A19"/>
    <w:rsid w:val="00350657"/>
    <w:rsid w:val="00447E1B"/>
    <w:rsid w:val="004A1B6E"/>
    <w:rsid w:val="004F6B26"/>
    <w:rsid w:val="0050111F"/>
    <w:rsid w:val="00510C01"/>
    <w:rsid w:val="00527D19"/>
    <w:rsid w:val="00581D5C"/>
    <w:rsid w:val="00585C7C"/>
    <w:rsid w:val="005E4A31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36070"/>
    <w:rsid w:val="00E60D88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5</cp:revision>
  <dcterms:created xsi:type="dcterms:W3CDTF">2018-05-12T17:29:00Z</dcterms:created>
  <dcterms:modified xsi:type="dcterms:W3CDTF">2018-05-16T21:44:00Z</dcterms:modified>
</cp:coreProperties>
</file>