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{#HAY_NOTAS0}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Mar>
              <w:top w:w="60" w:type="dxa"/>
              <w:bottom w:w="140" w:type="dxa"/>
              <w:left w:w="200" w:type="dxa"/>
              <w:right w:w="16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{#HAY_NOTAS0}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{/HAY_NOTAS0}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{#NOTAS0}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{/NOTAS0}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{/HAY_NOTAS0}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{#HAY_PASOS}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{#PASOS}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{/PASOS}</w:t>
            </w:r>
          </w:p>
        </w:tc>
      </w:tr>
    </w:tbl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{/HAY_PASOS}</w:t>
      </w:r>
    </w:p>
    <w:p>
      <w:r>
        <w:rPr>
          <w:rFonts w:ascii="Georgia" w:hAnsi="Georgia" w:cs="Georgia" w:eastAsia="Georgia"/>
          <w:b w:val="0"/>
          <w:i w:val="0"/>
          <w:color w:val="6D7A72"/>
          <w:sz w:val="19"/>
        </w:rPr>
        <w:t>{^HAY_PASOS}Esta remisión no ha sido remitida a otra persona.{/HAY_PASOS}</w:t>
      </w:r>
    </w:p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