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jc w:val="center"/>
      </w:pPr>
      <w:r>
        <w:rPr>
          <w:rFonts w:ascii="Calibri" w:cs="Calibri" w:eastAsia="Calibri" w:hAnsi="Calibri"/>
          <w:b/>
          <w:bCs/>
          <w:color w:val="1F3A5F"/>
          <w:sz w:val="40"/>
          <w:szCs w:val="40"/>
        </w:rPr>
        <w:t xml:space="preserve">FORMAL SOFTWARE DEVELOPMENT PROPOSAL</w:t>
      </w:r>
    </w:p>
    <w:p>
      <w:pPr>
        <w:spacing w:after="100"/>
        <w:jc w:val="center"/>
      </w:pPr>
      <w:r>
        <w:rPr>
          <w:rFonts w:ascii="Calibri" w:cs="Calibri" w:eastAsia="Calibri" w:hAnsi="Calibri"/>
          <w:b/>
          <w:bCs/>
          <w:color w:val="3F6B3F"/>
          <w:sz w:val="32"/>
          <w:szCs w:val="32"/>
        </w:rPr>
        <w:t xml:space="preserve">&amp; Investment Budget</w:t>
      </w:r>
    </w:p>
    <w:p>
      <w:pPr>
        <w:spacing w:after="1000"/>
        <w:jc w:val="center"/>
      </w:pPr>
      <w:r>
        <w:rPr>
          <w:rFonts w:ascii="Calibri" w:cs="Calibri" w:eastAsia="Calibri" w:hAnsi="Calibri"/>
          <w:i/>
          <w:iCs/>
          <w:color w:val="666666"/>
          <w:sz w:val="26"/>
          <w:szCs w:val="26"/>
        </w:rPr>
        <w:t xml:space="preserve">Agrisano — Agricultural Production Management Platform</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tblGrid>
      <w:tr>
        <w:tc>
          <w:tcPr>
            <w:tcW w:type="dxa" w:w="2200"/>
            <w:tcMar>
              <w:top w:type="dxa" w:w="60"/>
              <w:left w:type="dxa" w:w="100"/>
              <w:bottom w:type="dxa" w:w="60"/>
              <w:right w:type="dxa" w:w="100"/>
            </w:tcMar>
            <w:vAlign w:val="center"/>
          </w:tcPr>
          <w:p>
            <w:pPr>
              <w:jc w:val="left"/>
            </w:pPr>
            <w:r>
              <w:rPr>
                <w:rFonts w:ascii="Calibri" w:cs="Calibri" w:eastAsia="Calibri" w:hAnsi="Calibri"/>
                <w:b/>
                <w:bCs/>
                <w:color w:val="1F3A5F"/>
                <w:sz w:val="20"/>
                <w:szCs w:val="20"/>
              </w:rPr>
              <w:t xml:space="preserve">Prepared for:</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[Client Company Name], Australia</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color w:val="1F3A5F"/>
                <w:sz w:val="20"/>
                <w:szCs w:val="20"/>
              </w:rPr>
              <w:t xml:space="preserve">Prepared by:</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[Your Company / Development Team Name]</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color w:val="1F3A5F"/>
                <w:sz w:val="20"/>
                <w:szCs w:val="20"/>
              </w:rPr>
              <w:t xml:space="preserve">Document date:</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 July 2026</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color w:val="1F3A5F"/>
                <w:sz w:val="20"/>
                <w:szCs w:val="20"/>
              </w:rPr>
              <w:t xml:space="preserve">Quote reference:</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AGS-2026-001</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color w:val="1F3A5F"/>
                <w:sz w:val="20"/>
                <w:szCs w:val="20"/>
              </w:rPr>
              <w:t xml:space="preserve">Currency:</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Australian Dollars (AUD)</w:t>
            </w:r>
          </w:p>
        </w:tc>
      </w:tr>
      <w:tr>
        <w:tc>
          <w:tcPr>
            <w:tcW w:type="dxa" w:w="2200"/>
            <w:tcMar>
              <w:top w:type="dxa" w:w="60"/>
              <w:left w:type="dxa" w:w="100"/>
              <w:bottom w:type="dxa" w:w="60"/>
              <w:right w:type="dxa" w:w="100"/>
            </w:tcMar>
            <w:vAlign w:val="center"/>
          </w:tcPr>
          <w:p>
            <w:pPr>
              <w:jc w:val="left"/>
            </w:pPr>
            <w:r>
              <w:rPr>
                <w:rFonts w:ascii="Calibri" w:cs="Calibri" w:eastAsia="Calibri" w:hAnsi="Calibri"/>
                <w:b/>
                <w:bCs/>
                <w:color w:val="1F3A5F"/>
                <w:sz w:val="20"/>
                <w:szCs w:val="20"/>
              </w:rPr>
              <w:t xml:space="preserve">Quote validity:</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days — until 13 August 2026</w:t>
            </w:r>
          </w:p>
        </w:tc>
      </w:tr>
    </w:tbl>
    <w:p>
      <w:r>
        <w:br w:type="page"/>
      </w:r>
    </w:p>
    <w:p>
      <w:pPr>
        <w:sectPr>
          <w:pgSz w:w="11906" w:h="16838" w:orient="portrait"/>
          <w:pgMar w:top="900" w:right="720" w:bottom="900" w:left="720" w:header="708" w:footer="708" w:gutter="0"/>
          <w:pgNumType/>
          <w:docGrid w:linePitch="360"/>
        </w:sectPr>
      </w:pPr>
    </w:p>
    <w:p>
      <w:pPr>
        <w:pStyle w:val="Heading1"/>
        <w:spacing w:after="160" w:before="360"/>
      </w:pPr>
      <w:r>
        <w:rPr>
          <w:rFonts w:ascii="Calibri" w:cs="Calibri" w:eastAsia="Calibri" w:hAnsi="Calibri"/>
          <w:b/>
          <w:bCs/>
          <w:color w:val="1F3A5F"/>
          <w:sz w:val="30"/>
          <w:szCs w:val="30"/>
        </w:rPr>
        <w:t xml:space="preserve">1. Executive Summary</w:t>
      </w:r>
    </w:p>
    <w:p>
      <w:pPr>
        <w:spacing w:after="160"/>
      </w:pPr>
      <w:r>
        <w:rPr>
          <w:rFonts w:ascii="Calibri" w:cs="Calibri" w:eastAsia="Calibri" w:hAnsi="Calibri"/>
          <w:sz w:val="21"/>
          <w:szCs w:val="21"/>
        </w:rPr>
        <w:t xml:space="preserve">This proposal covers the design, development and delivery of the Agrisano backend platform: a multi-tenant REST API that digitises an intensive vegetable-growing operation end-to-end — from seed and chemical procurement through nursery propagation, greenhouse transplanting, chemical-application compliance, harvest and post-harvest packing, with full batch-level traceability.</w:t>
      </w:r>
    </w:p>
    <w:p>
      <w:pPr>
        <w:spacing w:after="160"/>
      </w:pPr>
      <w:r>
        <w:rPr>
          <w:rFonts w:ascii="Calibri" w:cs="Calibri" w:eastAsia="Calibri" w:hAnsi="Calibri"/>
          <w:sz w:val="21"/>
          <w:szCs w:val="21"/>
        </w:rPr>
        <w:t xml:space="preserve">The system as analysed comprises 21 functional modules, 121 API endpoints, 29 data entities and a fully-scripted database migration history — a substantial, production-grade agribusiness platform rather than a simple CRUD application. Two areas in particular (chemical withholding-period compliance and end-to-end traceability) carry regulatory and food-safety significance and were priced accordingly.</w:t>
      </w:r>
    </w:p>
    <w:p>
      <w:pPr>
        <w:spacing w:after="160"/>
      </w:pPr>
      <w:r>
        <w:rPr>
          <w:rFonts w:ascii="Calibri" w:cs="Calibri" w:eastAsia="Calibri" w:hAnsi="Calibri"/>
          <w:b/>
          <w:bCs/>
          <w:sz w:val="21"/>
          <w:szCs w:val="21"/>
        </w:rPr>
        <w:t xml:space="preserve">The total investment for the scope described below is $117,212.70 AUD (incl. GST), based on an estimated 768 hours of professional services. Ongoing maintenance and support plans start from $960/month. Full detail follows.</w:t>
      </w:r>
    </w:p>
    <w:p>
      <w:pPr>
        <w:pStyle w:val="Heading1"/>
        <w:spacing w:after="160" w:before="360"/>
      </w:pPr>
      <w:r>
        <w:rPr>
          <w:rFonts w:ascii="Calibri" w:cs="Calibri" w:eastAsia="Calibri" w:hAnsi="Calibri"/>
          <w:b/>
          <w:bCs/>
          <w:color w:val="1F3A5F"/>
          <w:sz w:val="30"/>
          <w:szCs w:val="30"/>
        </w:rPr>
        <w:t xml:space="preserve">2. Project Scope &amp; Assumptions</w:t>
      </w:r>
    </w:p>
    <w:p>
      <w:pPr>
        <w:spacing w:after="160"/>
      </w:pPr>
      <w:r>
        <w:rPr>
          <w:rFonts w:ascii="Calibri" w:cs="Calibri" w:eastAsia="Calibri" w:hAnsi="Calibri"/>
          <w:sz w:val="21"/>
          <w:szCs w:val="21"/>
        </w:rPr>
        <w:t xml:space="preserve">This proposal covers backend/API development only — i.e. the scope of the existing NestJS + PostgreSQL system analysed for this quote. Key assumptions:</w:t>
      </w:r>
    </w:p>
    <w:p>
      <w:pPr>
        <w:pStyle w:val="ListParagraph"/>
        <w:numPr>
          <w:ilvl w:val="0"/>
          <w:numId w:val="2"/>
        </w:numPr>
        <w:spacing w:after="80"/>
      </w:pPr>
      <w:r>
        <w:rPr>
          <w:rFonts w:ascii="Calibri" w:cs="Calibri" w:eastAsia="Calibri" w:hAnsi="Calibri"/>
          <w:sz w:val="21"/>
          <w:szCs w:val="21"/>
        </w:rPr>
        <w:t xml:space="preserve">Scope is the server-side platform (REST API, database, business logic, authentication and authorisation). A separate web or mobile frontend is not included in this quote and would be scoped and priced independently.</w:t>
      </w:r>
    </w:p>
    <w:p>
      <w:pPr>
        <w:pStyle w:val="ListParagraph"/>
        <w:numPr>
          <w:ilvl w:val="0"/>
          <w:numId w:val="2"/>
        </w:numPr>
        <w:spacing w:after="80"/>
      </w:pPr>
      <w:r>
        <w:rPr>
          <w:rFonts w:ascii="Calibri" w:cs="Calibri" w:eastAsia="Calibri" w:hAnsi="Calibri"/>
          <w:sz w:val="21"/>
          <w:szCs w:val="21"/>
        </w:rPr>
        <w:t xml:space="preserve">Cloud hosting, database hosting and file-storage costs are billed directly by the infrastructure provider and are not included in the figures below.</w:t>
      </w:r>
    </w:p>
    <w:p>
      <w:pPr>
        <w:pStyle w:val="ListParagraph"/>
        <w:numPr>
          <w:ilvl w:val="0"/>
          <w:numId w:val="2"/>
        </w:numPr>
        <w:spacing w:after="80"/>
      </w:pPr>
      <w:r>
        <w:rPr>
          <w:rFonts w:ascii="Calibri" w:cs="Calibri" w:eastAsia="Calibri" w:hAnsi="Calibri"/>
          <w:sz w:val="21"/>
          <w:szCs w:val="21"/>
        </w:rPr>
        <w:t xml:space="preserve">Pricing assumes timely access to business stakeholders for requirements validation and sign-off at each milestone.</w:t>
      </w:r>
    </w:p>
    <w:p>
      <w:pPr>
        <w:pStyle w:val="ListParagraph"/>
        <w:numPr>
          <w:ilvl w:val="0"/>
          <w:numId w:val="2"/>
        </w:numPr>
        <w:spacing w:after="80"/>
      </w:pPr>
      <w:r>
        <w:rPr>
          <w:rFonts w:ascii="Calibri" w:cs="Calibri" w:eastAsia="Calibri" w:hAnsi="Calibri"/>
          <w:sz w:val="21"/>
          <w:szCs w:val="21"/>
        </w:rPr>
        <w:t xml:space="preserve">Up to two rounds of revision per module are included; material scope changes beyond the 21 modules described are treated as change requests and quoted separately.</w:t>
      </w:r>
    </w:p>
    <w:p>
      <w:pPr>
        <w:pStyle w:val="ListParagraph"/>
        <w:numPr>
          <w:ilvl w:val="0"/>
          <w:numId w:val="2"/>
        </w:numPr>
        <w:spacing w:after="80"/>
      </w:pPr>
      <w:r>
        <w:rPr>
          <w:rFonts w:ascii="Calibri" w:cs="Calibri" w:eastAsia="Calibri" w:hAnsi="Calibri"/>
          <w:sz w:val="21"/>
          <w:szCs w:val="21"/>
        </w:rPr>
        <w:t xml:space="preserve">All figures are in Australian Dollars (AUD) and exclude GST unless stated otherwise.</w:t>
      </w:r>
    </w:p>
    <w:p>
      <w:pPr>
        <w:pStyle w:val="Heading1"/>
        <w:spacing w:after="160" w:before="360"/>
      </w:pPr>
      <w:r>
        <w:rPr>
          <w:rFonts w:ascii="Calibri" w:cs="Calibri" w:eastAsia="Calibri" w:hAnsi="Calibri"/>
          <w:b/>
          <w:bCs/>
          <w:color w:val="1F3A5F"/>
          <w:sz w:val="30"/>
          <w:szCs w:val="30"/>
        </w:rPr>
        <w:t xml:space="preserve">3. System Overview</w:t>
      </w:r>
    </w:p>
    <w:p>
      <w:pPr>
        <w:spacing w:after="160"/>
      </w:pPr>
      <w:r>
        <w:rPr>
          <w:rFonts w:ascii="Calibri" w:cs="Calibri" w:eastAsia="Calibri" w:hAnsi="Calibri"/>
          <w:sz w:val="21"/>
          <w:szCs w:val="21"/>
        </w:rPr>
        <w:t xml:space="preserve">Technology stack: NestJS (Node.js/TypeScript), PostgreSQL with TypeORM, JWT authentication, Docker-based deployment. Architecture highlights:</w:t>
      </w:r>
    </w:p>
    <w:p>
      <w:pPr>
        <w:pStyle w:val="ListParagraph"/>
        <w:numPr>
          <w:ilvl w:val="0"/>
          <w:numId w:val="2"/>
        </w:numPr>
        <w:spacing w:after="80"/>
      </w:pPr>
      <w:r>
        <w:rPr>
          <w:rFonts w:ascii="Calibri" w:cs="Calibri" w:eastAsia="Calibri" w:hAnsi="Calibri"/>
          <w:sz w:val="21"/>
          <w:szCs w:val="21"/>
        </w:rPr>
        <w:t xml:space="preserve">Multi-tenant data model with tenant-level isolation enforced at the query layer.</w:t>
      </w:r>
    </w:p>
    <w:p>
      <w:pPr>
        <w:pStyle w:val="ListParagraph"/>
        <w:numPr>
          <w:ilvl w:val="0"/>
          <w:numId w:val="2"/>
        </w:numPr>
        <w:spacing w:after="80"/>
      </w:pPr>
      <w:r>
        <w:rPr>
          <w:rFonts w:ascii="Calibri" w:cs="Calibri" w:eastAsia="Calibri" w:hAnsi="Calibri"/>
          <w:sz w:val="21"/>
          <w:szCs w:val="21"/>
        </w:rPr>
        <w:t xml:space="preserve">Role-based access control with granular route and field-level guards.</w:t>
      </w:r>
    </w:p>
    <w:p>
      <w:pPr>
        <w:pStyle w:val="ListParagraph"/>
        <w:numPr>
          <w:ilvl w:val="0"/>
          <w:numId w:val="2"/>
        </w:numPr>
        <w:spacing w:after="80"/>
      </w:pPr>
      <w:r>
        <w:rPr>
          <w:rFonts w:ascii="Calibri" w:cs="Calibri" w:eastAsia="Calibri" w:hAnsi="Calibri"/>
          <w:sz w:val="21"/>
          <w:szCs w:val="21"/>
        </w:rPr>
        <w:t xml:space="preserve">Append-only audit and history logs for regulated events (chemical applications, withholding periods, table/tray state changes).</w:t>
      </w:r>
    </w:p>
    <w:p>
      <w:pPr>
        <w:pStyle w:val="ListParagraph"/>
        <w:numPr>
          <w:ilvl w:val="0"/>
          <w:numId w:val="2"/>
        </w:numPr>
        <w:spacing w:after="80"/>
      </w:pPr>
      <w:r>
        <w:rPr>
          <w:rFonts w:ascii="Calibri" w:cs="Calibri" w:eastAsia="Calibri" w:hAnsi="Calibri"/>
          <w:sz w:val="21"/>
          <w:szCs w:val="21"/>
        </w:rPr>
        <w:t xml:space="preserve">31 versioned database migrations providing a complete, reproducible schema history.</w:t>
      </w:r>
    </w:p>
    <w:p>
      <w:pPr>
        <w:pStyle w:val="ListParagraph"/>
        <w:numPr>
          <w:ilvl w:val="0"/>
          <w:numId w:val="2"/>
        </w:numPr>
        <w:spacing w:after="80"/>
      </w:pPr>
      <w:r>
        <w:rPr>
          <w:rFonts w:ascii="Calibri" w:cs="Calibri" w:eastAsia="Calibri" w:hAnsi="Calibri"/>
          <w:sz w:val="21"/>
          <w:szCs w:val="21"/>
        </w:rPr>
        <w:t xml:space="preserve">Documented REST API (11 integration guides) ready for consumption by a web or mobile frontend.</w:t>
      </w:r>
    </w:p>
    <w:p>
      <w:pPr>
        <w:pStyle w:val="Heading1"/>
        <w:spacing w:after="160" w:before="360"/>
      </w:pPr>
      <w:r>
        <w:rPr>
          <w:rFonts w:ascii="Calibri" w:cs="Calibri" w:eastAsia="Calibri" w:hAnsi="Calibri"/>
          <w:b/>
          <w:bCs/>
          <w:color w:val="1F3A5F"/>
          <w:sz w:val="30"/>
          <w:szCs w:val="30"/>
        </w:rPr>
        <w:t xml:space="preserve">4. Detailed Feature Breakdown &amp; Cost Estimate</w:t>
      </w:r>
    </w:p>
    <w:p>
      <w:pPr>
        <w:spacing w:after="160"/>
      </w:pPr>
      <w:r>
        <w:rPr>
          <w:rFonts w:ascii="Calibri" w:cs="Calibri" w:eastAsia="Calibri" w:hAnsi="Calibri"/>
          <w:sz w:val="21"/>
          <w:szCs w:val="21"/>
        </w:rPr>
        <w:t xml:space="preserve">The table below itemises every functional area identified in the platform, the estimated effort, the role best suited to deliver it, and the resulting cost. Rates are detailed in Section 6.</w:t>
      </w:r>
    </w:p>
    <w:p>
      <w:pPr>
        <w:pStyle w:val="Heading2"/>
        <w:spacing w:after="120" w:before="260"/>
      </w:pPr>
      <w:r>
        <w:rPr>
          <w:rFonts w:ascii="Calibri" w:cs="Calibri" w:eastAsia="Calibri" w:hAnsi="Calibri"/>
          <w:b/>
          <w:bCs/>
          <w:color w:val="1F3A5F"/>
          <w:sz w:val="24"/>
          <w:szCs w:val="24"/>
        </w:rPr>
        <w:t xml:space="preserve">A. Discovery, Architecture &amp; Foundation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Discovery &amp; Requirements Analysis</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Stakeholder workshops, functional requirements capture and data-model discovery across the full production cycle (seeding → nursery → transplant → greenhouse → harvest → packing).</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24</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Project Mgr / BA</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$120/hr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$2,880</w:t>
            </w:r>
          </w:p>
        </w:tc>
      </w:tr>
      <w:tr>
        <w:tc>
          <w:tcPr>
            <w:tcW w:type="dxa" w:w="2100"/>
            <w:shd w:fill="EDF1F5"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Core Architecture &amp; Multi-Tenant Framework</w:t>
            </w:r>
          </w:p>
        </w:tc>
        <w:tc>
          <w:tcPr>
            <w:tcW w:type="dxa" w:w="4266"/>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NestJS project scaffolding, PostgreSQL/TypeORM setup, multi-tenant data isolation, base entity conventions (soft delete, audit timestamps), centralised error-handling framework.</w:t>
            </w:r>
          </w:p>
        </w:tc>
        <w:tc>
          <w:tcPr>
            <w:tcW w:type="dxa" w:w="700"/>
            <w:shd w:fill="EDF1F5"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80</w:t>
            </w:r>
          </w:p>
        </w:tc>
        <w:tc>
          <w:tcPr>
            <w:tcW w:type="dxa" w:w="15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$11,600</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DevOps &amp; Deployment Pipeline</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Docker containerisation, environment configuration, database migration tooling, deployment pipeline to production hosting.</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20</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DevOps Engineer</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$130/hr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$2,600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124</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$17,080</w:t>
            </w:r>
          </w:p>
        </w:tc>
      </w:tr>
    </w:tbl>
    <w:p>
      <w:pPr>
        <w:spacing w:after="200"/>
      </w:pPr>
    </w:p>
    <w:p>
      <w:pPr>
        <w:pStyle w:val="Heading2"/>
        <w:spacing w:after="120" w:before="260"/>
      </w:pPr>
      <w:r>
        <w:rPr>
          <w:rFonts w:ascii="Calibri" w:cs="Calibri" w:eastAsia="Calibri" w:hAnsi="Calibri"/>
          <w:b/>
          <w:bCs/>
          <w:color w:val="1F3A5F"/>
          <w:sz w:val="24"/>
          <w:szCs w:val="24"/>
        </w:rPr>
        <w:t xml:space="preserve">B. Identity, Access &amp; Administration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Authentication &amp; Session Mgmt</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Secure JWT-based login, token handling and password management.</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18</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$2,610</w:t>
            </w:r>
          </w:p>
        </w:tc>
      </w:tr>
      <w:tr>
        <w:tc>
          <w:tcPr>
            <w:tcW w:type="dxa" w:w="2100"/>
            <w:shd w:fill="EDF1F5"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User Management</w:t>
            </w:r>
          </w:p>
        </w:tc>
        <w:tc>
          <w:tcPr>
            <w:tcW w:type="dxa" w:w="4266"/>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Admin CRUD for platform users, activation/deactivation and tenant assignment.</w:t>
            </w:r>
          </w:p>
        </w:tc>
        <w:tc>
          <w:tcPr>
            <w:tcW w:type="dxa" w:w="700"/>
            <w:shd w:fill="EDF1F5"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16</w:t>
            </w:r>
          </w:p>
        </w:tc>
        <w:tc>
          <w:tcPr>
            <w:tcW w:type="dxa" w:w="15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$2,320</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Role-Based Access Control</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Configurable roles/permissions with route and field-level authorisation guards across every module.</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18</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$2,610</w:t>
            </w:r>
          </w:p>
        </w:tc>
      </w:tr>
      <w:tr>
        <w:tc>
          <w:tcPr>
            <w:tcW w:type="dxa" w:w="2100"/>
            <w:shd w:fill="EDF1F5"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Audit Logging</w:t>
            </w:r>
          </w:p>
        </w:tc>
        <w:tc>
          <w:tcPr>
            <w:tcW w:type="dxa" w:w="4266"/>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Immutable audit trail of administrative actions for compliance and traceability.</w:t>
            </w:r>
          </w:p>
        </w:tc>
        <w:tc>
          <w:tcPr>
            <w:tcW w:type="dxa" w:w="700"/>
            <w:shd w:fill="EDF1F5"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18</w:t>
            </w:r>
          </w:p>
        </w:tc>
        <w:tc>
          <w:tcPr>
            <w:tcW w:type="dxa" w:w="15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$2,610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70</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$10,150</w:t>
            </w:r>
          </w:p>
        </w:tc>
      </w:tr>
    </w:tbl>
    <w:p>
      <w:pPr>
        <w:spacing w:after="200"/>
      </w:pPr>
    </w:p>
    <w:p>
      <w:pPr>
        <w:pStyle w:val="Heading2"/>
        <w:spacing w:after="120" w:before="260"/>
      </w:pPr>
      <w:r>
        <w:rPr>
          <w:rFonts w:ascii="Calibri" w:cs="Calibri" w:eastAsia="Calibri" w:hAnsi="Calibri"/>
          <w:b/>
          <w:bCs/>
          <w:color w:val="1F3A5F"/>
          <w:sz w:val="24"/>
          <w:szCs w:val="24"/>
        </w:rPr>
        <w:t xml:space="preserve">C. Core Business Catalogs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Facility / Site Management</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Multi-site farm/facility registry; scopes all downstream operational data by site.</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24</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Backend Developer</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$105/hr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$2,520</w:t>
            </w:r>
          </w:p>
        </w:tc>
      </w:tr>
      <w:tr>
        <w:tc>
          <w:tcPr>
            <w:tcW w:type="dxa" w:w="2100"/>
            <w:shd w:fill="EDF1F5"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Product &amp; Variety Catalog</w:t>
            </w:r>
          </w:p>
        </w:tc>
        <w:tc>
          <w:tcPr>
            <w:tcW w:type="dxa" w:w="4266"/>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Crop products and their varieties, reused across seed lots and harvest records.</w:t>
            </w:r>
          </w:p>
        </w:tc>
        <w:tc>
          <w:tcPr>
            <w:tcW w:type="dxa" w:w="700"/>
            <w:shd w:fill="EDF1F5"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28</w:t>
            </w:r>
          </w:p>
        </w:tc>
        <w:tc>
          <w:tcPr>
            <w:tcW w:type="dxa" w:w="15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Backend Developer</w:t>
            </w:r>
          </w:p>
        </w:tc>
        <w:tc>
          <w:tcPr>
            <w:tcW w:type="dxa" w:w="9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$105/hr</w:t>
            </w:r>
          </w:p>
        </w:tc>
        <w:tc>
          <w:tcPr>
            <w:tcW w:type="dxa" w:w="1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$2,940</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Brand Catalog</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Chemical/product brand registry.</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14</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Backend Developer</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$105/hr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$1,470</w:t>
            </w:r>
          </w:p>
        </w:tc>
      </w:tr>
      <w:tr>
        <w:tc>
          <w:tcPr>
            <w:tcW w:type="dxa" w:w="2100"/>
            <w:shd w:fill="EDF1F5"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Supplier Catalog</w:t>
            </w:r>
          </w:p>
        </w:tc>
        <w:tc>
          <w:tcPr>
            <w:tcW w:type="dxa" w:w="4266"/>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General and seed-supplier registry, reused across chemical and seed-lot procurement flows.</w:t>
            </w:r>
          </w:p>
        </w:tc>
        <w:tc>
          <w:tcPr>
            <w:tcW w:type="dxa" w:w="700"/>
            <w:shd w:fill="EDF1F5"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14</w:t>
            </w:r>
          </w:p>
        </w:tc>
        <w:tc>
          <w:tcPr>
            <w:tcW w:type="dxa" w:w="15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Backend Developer</w:t>
            </w:r>
          </w:p>
        </w:tc>
        <w:tc>
          <w:tcPr>
            <w:tcW w:type="dxa" w:w="9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$105/hr</w:t>
            </w:r>
          </w:p>
        </w:tc>
        <w:tc>
          <w:tcPr>
            <w:tcW w:type="dxa" w:w="1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$1,470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80</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$8,400</w:t>
            </w:r>
          </w:p>
        </w:tc>
      </w:tr>
    </w:tbl>
    <w:p>
      <w:pPr>
        <w:spacing w:after="200"/>
      </w:pPr>
    </w:p>
    <w:p>
      <w:pPr>
        <w:pStyle w:val="Heading2"/>
        <w:spacing w:after="120" w:before="260"/>
      </w:pPr>
      <w:r>
        <w:rPr>
          <w:rFonts w:ascii="Calibri" w:cs="Calibri" w:eastAsia="Calibri" w:hAnsi="Calibri"/>
          <w:b/>
          <w:bCs/>
          <w:color w:val="1F3A5F"/>
          <w:sz w:val="24"/>
          <w:szCs w:val="24"/>
        </w:rPr>
        <w:t xml:space="preserve">D. Chemical Inventory &amp; Compliance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Chemical Product Registry</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Chemicals with measurement units, dosage-rate units, active-ingredient linkage and withholding-period configuration.</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30</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$4,350</w:t>
            </w:r>
          </w:p>
        </w:tc>
      </w:tr>
      <w:tr>
        <w:tc>
          <w:tcPr>
            <w:tcW w:type="dxa" w:w="2100"/>
            <w:shd w:fill="EDF1F5"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Chemical Batch &amp; Stock Control</w:t>
            </w:r>
          </w:p>
        </w:tc>
        <w:tc>
          <w:tcPr>
            <w:tcW w:type="dxa" w:w="4266"/>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Batch-level stock tracking with quantity adjustments, expiry dates and non-negative stock enforcement.</w:t>
            </w:r>
          </w:p>
        </w:tc>
        <w:tc>
          <w:tcPr>
            <w:tcW w:type="dxa" w:w="700"/>
            <w:shd w:fill="EDF1F5"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26</w:t>
            </w:r>
          </w:p>
        </w:tc>
        <w:tc>
          <w:tcPr>
            <w:tcW w:type="dxa" w:w="15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$3,770</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Chemical Application &amp; Withholding Compliance</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Recording chemical applications to greenhouse tables, automatic withholding-period (“carencia”) calculation/enforcement and full application history.</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42</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$6,090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98</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$14,210</w:t>
            </w:r>
          </w:p>
        </w:tc>
      </w:tr>
    </w:tbl>
    <w:p>
      <w:pPr>
        <w:spacing w:after="200"/>
      </w:pPr>
    </w:p>
    <w:p>
      <w:pPr>
        <w:pStyle w:val="Heading2"/>
        <w:spacing w:after="120" w:before="260"/>
      </w:pPr>
      <w:r>
        <w:rPr>
          <w:rFonts w:ascii="Calibri" w:cs="Calibri" w:eastAsia="Calibri" w:hAnsi="Calibri"/>
          <w:b/>
          <w:bCs/>
          <w:color w:val="1F3A5F"/>
          <w:sz w:val="24"/>
          <w:szCs w:val="24"/>
        </w:rPr>
        <w:t xml:space="preserve">E. Seed &amp; Substrate Lot Management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Seed &amp; Substrate Batch Tracking</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Batch/lot tracking for seed and substrate inputs, with supplier and product/variety validation.</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22</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Backend Developer</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$105/hr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$2,310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22</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$2,310</w:t>
            </w:r>
          </w:p>
        </w:tc>
      </w:tr>
    </w:tbl>
    <w:p>
      <w:pPr>
        <w:spacing w:after="200"/>
      </w:pPr>
    </w:p>
    <w:p>
      <w:pPr>
        <w:pStyle w:val="Heading2"/>
        <w:spacing w:after="120" w:before="260"/>
      </w:pPr>
      <w:r>
        <w:rPr>
          <w:rFonts w:ascii="Calibri" w:cs="Calibri" w:eastAsia="Calibri" w:hAnsi="Calibri"/>
          <w:b/>
          <w:bCs/>
          <w:color w:val="1F3A5F"/>
          <w:sz w:val="24"/>
          <w:szCs w:val="24"/>
        </w:rPr>
        <w:t xml:space="preserve">F. Nursery &amp; Seeding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Seeding &amp; Tray (Nursery) Management</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Seeding batches and individual tray tracking through cooling period and nursery intake, with full state-machine lifecycle.</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36</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$5,220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36</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$5,220</w:t>
            </w:r>
          </w:p>
        </w:tc>
      </w:tr>
    </w:tbl>
    <w:p>
      <w:pPr>
        <w:spacing w:after="200"/>
      </w:pPr>
    </w:p>
    <w:p>
      <w:pPr>
        <w:pStyle w:val="Heading2"/>
        <w:spacing w:after="120" w:before="260"/>
      </w:pPr>
      <w:r>
        <w:rPr>
          <w:rFonts w:ascii="Calibri" w:cs="Calibri" w:eastAsia="Calibri" w:hAnsi="Calibri"/>
          <w:b/>
          <w:bCs/>
          <w:color w:val="1F3A5F"/>
          <w:sz w:val="24"/>
          <w:szCs w:val="24"/>
        </w:rPr>
        <w:t xml:space="preserve">G. Greenhouse Infrastructure &amp; Plant Tracking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Tunnel / Greenhouse Management</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Greenhouse tunnel registry and capacity management.</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16</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Backend Developer</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$105/hr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$1,680</w:t>
            </w:r>
          </w:p>
        </w:tc>
      </w:tr>
      <w:tr>
        <w:tc>
          <w:tcPr>
            <w:tcW w:type="dxa" w:w="2100"/>
            <w:shd w:fill="EDF1F5"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Table (Mesa) Management &amp; History</w:t>
            </w:r>
          </w:p>
        </w:tc>
        <w:tc>
          <w:tcPr>
            <w:tcW w:type="dxa" w:w="4266"/>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Greenhouse table tracking, positioning, plant-count estimates, state transitions and a full event history log (transplant, harvest, repositioning, chemical application, withholding), with automatic withholding-date propagation.</w:t>
            </w:r>
          </w:p>
        </w:tc>
        <w:tc>
          <w:tcPr>
            <w:tcW w:type="dxa" w:w="700"/>
            <w:shd w:fill="EDF1F5"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40</w:t>
            </w:r>
          </w:p>
        </w:tc>
        <w:tc>
          <w:tcPr>
            <w:tcW w:type="dxa" w:w="15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$5,800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56</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$7,480</w:t>
            </w:r>
          </w:p>
        </w:tc>
      </w:tr>
    </w:tbl>
    <w:p>
      <w:pPr>
        <w:spacing w:after="200"/>
      </w:pPr>
    </w:p>
    <w:p>
      <w:pPr>
        <w:pStyle w:val="Heading2"/>
        <w:spacing w:after="120" w:before="260"/>
      </w:pPr>
      <w:r>
        <w:rPr>
          <w:rFonts w:ascii="Calibri" w:cs="Calibri" w:eastAsia="Calibri" w:hAnsi="Calibri"/>
          <w:b/>
          <w:bCs/>
          <w:color w:val="1F3A5F"/>
          <w:sz w:val="24"/>
          <w:szCs w:val="24"/>
        </w:rPr>
        <w:t xml:space="preserve">H. Crop Lifecycle Operations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Transplanting Workflow</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Moving trays from nursery into greenhouse tables and linking tray/table records.</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20</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Backend Developer</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$105/hr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$2,100</w:t>
            </w:r>
          </w:p>
        </w:tc>
      </w:tr>
      <w:tr>
        <w:tc>
          <w:tcPr>
            <w:tcW w:type="dxa" w:w="2100"/>
            <w:shd w:fill="EDF1F5"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Harvest Management</w:t>
            </w:r>
          </w:p>
        </w:tc>
        <w:tc>
          <w:tcPr>
            <w:tcW w:type="dxa" w:w="4266"/>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Recording harvests per table, yield tracking and product/variety attribution.</w:t>
            </w:r>
          </w:p>
        </w:tc>
        <w:tc>
          <w:tcPr>
            <w:tcW w:type="dxa" w:w="700"/>
            <w:shd w:fill="EDF1F5"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34</w:t>
            </w:r>
          </w:p>
        </w:tc>
        <w:tc>
          <w:tcPr>
            <w:tcW w:type="dxa" w:w="15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$4,930</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Packing &amp; Post-Harvest Processing</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Packing records linked to harvests, extending the traceability chain from field to packed product.</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28</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Backend Developer</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$105/hr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$2,940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82</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$9,970</w:t>
            </w:r>
          </w:p>
        </w:tc>
      </w:tr>
    </w:tbl>
    <w:p>
      <w:pPr>
        <w:spacing w:after="200"/>
      </w:pPr>
    </w:p>
    <w:p>
      <w:pPr>
        <w:pStyle w:val="Heading2"/>
        <w:spacing w:after="120" w:before="260"/>
      </w:pPr>
      <w:r>
        <w:rPr>
          <w:rFonts w:ascii="Calibri" w:cs="Calibri" w:eastAsia="Calibri" w:hAnsi="Calibri"/>
          <w:b/>
          <w:bCs/>
          <w:color w:val="1F3A5F"/>
          <w:sz w:val="24"/>
          <w:szCs w:val="24"/>
        </w:rPr>
        <w:t xml:space="preserve">I. Traceability, Documents &amp; Integration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End-to-End Traceability Reporting</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Cross-module reporting that reconstructs the full chain of custody from seed lot to packed product.</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30</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Senior Backend Dev.</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$145/hr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$4,350</w:t>
            </w:r>
          </w:p>
        </w:tc>
      </w:tr>
      <w:tr>
        <w:tc>
          <w:tcPr>
            <w:tcW w:type="dxa" w:w="2100"/>
            <w:shd w:fill="EDF1F5"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File &amp; Document Management</w:t>
            </w:r>
          </w:p>
        </w:tc>
        <w:tc>
          <w:tcPr>
            <w:tcW w:type="dxa" w:w="4266"/>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Secure upload, storage and retrieval of supporting documents/photos.</w:t>
            </w:r>
          </w:p>
        </w:tc>
        <w:tc>
          <w:tcPr>
            <w:tcW w:type="dxa" w:w="700"/>
            <w:shd w:fill="EDF1F5"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16</w:t>
            </w:r>
          </w:p>
        </w:tc>
        <w:tc>
          <w:tcPr>
            <w:tcW w:type="dxa" w:w="15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Backend Developer</w:t>
            </w:r>
          </w:p>
        </w:tc>
        <w:tc>
          <w:tcPr>
            <w:tcW w:type="dxa" w:w="9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$105/hr</w:t>
            </w:r>
          </w:p>
        </w:tc>
        <w:tc>
          <w:tcPr>
            <w:tcW w:type="dxa" w:w="1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$1,680</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Frontend Integration Documentation</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Eleven detailed API integration guides (one per module) for the frontend team covering data models, endpoints and business rules.</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24</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Backend Developer</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$105/hr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$2,520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70</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$8,550</w:t>
            </w:r>
          </w:p>
        </w:tc>
      </w:tr>
    </w:tbl>
    <w:p>
      <w:pPr>
        <w:spacing w:after="200"/>
      </w:pPr>
    </w:p>
    <w:p>
      <w:pPr>
        <w:pStyle w:val="Heading2"/>
        <w:spacing w:after="120" w:before="260"/>
      </w:pPr>
      <w:r>
        <w:rPr>
          <w:rFonts w:ascii="Calibri" w:cs="Calibri" w:eastAsia="Calibri" w:hAnsi="Calibri"/>
          <w:b/>
          <w:bCs/>
          <w:color w:val="1F3A5F"/>
          <w:sz w:val="24"/>
          <w:szCs w:val="24"/>
        </w:rPr>
        <w:t xml:space="preserve">J. Quality Assurance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Full-System Regression Testing</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End-to-end manual and exploratory testing across all modules, plus defect triage and resolution.</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60</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QA / Test Engineer</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$85/hr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$5,100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60</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$5,100</w:t>
            </w:r>
          </w:p>
        </w:tc>
      </w:tr>
    </w:tbl>
    <w:p>
      <w:pPr>
        <w:spacing w:after="200"/>
      </w:pPr>
    </w:p>
    <w:p>
      <w:pPr>
        <w:pStyle w:val="Heading2"/>
        <w:spacing w:after="120" w:before="260"/>
      </w:pPr>
      <w:r>
        <w:rPr>
          <w:rFonts w:ascii="Calibri" w:cs="Calibri" w:eastAsia="Calibri" w:hAnsi="Calibri"/>
          <w:b/>
          <w:bCs/>
          <w:color w:val="1F3A5F"/>
          <w:sz w:val="24"/>
          <w:szCs w:val="24"/>
        </w:rPr>
        <w:t xml:space="preserve">K. Project Management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4266"/>
        <w:gridCol w:w="700"/>
        <w:gridCol w:w="1500"/>
        <w:gridCol w:w="900"/>
        <w:gridCol w:w="1000"/>
      </w:tblGrid>
      <w:tr>
        <w:trPr>
          <w:tblHeader/>
        </w:trPr>
        <w:tc>
          <w:tcPr>
            <w:tcW w:type="dxa" w:w="21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Feature</w:t>
            </w:r>
          </w:p>
        </w:tc>
        <w:tc>
          <w:tcPr>
            <w:tcW w:type="dxa" w:w="4266"/>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Description</w:t>
            </w:r>
          </w:p>
        </w:tc>
        <w:tc>
          <w:tcPr>
            <w:tcW w:type="dxa" w:w="700"/>
            <w:shd w:fill="1F3A5F"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Hrs</w:t>
            </w:r>
          </w:p>
        </w:tc>
        <w:tc>
          <w:tcPr>
            <w:tcW w:type="dxa" w:w="1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w:t>
            </w:r>
          </w:p>
        </w:tc>
        <w:tc>
          <w:tcPr>
            <w:tcW w:type="dxa" w:w="1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Cost (AUD)</w:t>
            </w:r>
          </w:p>
        </w:tc>
      </w:tr>
      <w:tr>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Ongoing Project Management</w:t>
            </w:r>
          </w:p>
        </w:tc>
        <w:tc>
          <w:tcPr>
            <w:tcW w:type="dxa" w:w="4266"/>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Sprint planning, progress reporting and client coordination across the project lifecycle (~10% of delivery effort).</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70</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Project Mgr / BA</w:t>
            </w:r>
          </w:p>
        </w:tc>
        <w:tc>
          <w:tcPr>
            <w:tcW w:type="dxa" w:w="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$120/hr</w:t>
            </w:r>
          </w:p>
        </w:tc>
        <w:tc>
          <w:tcPr>
            <w:tcW w:type="dxa" w:w="1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8"/>
                <w:szCs w:val="18"/>
              </w:rPr>
              <w:t xml:space="preserve">$8,400</w:t>
            </w:r>
          </w:p>
        </w:tc>
      </w:tr>
      <w:tr>
        <w:tc>
          <w:tcPr>
            <w:tcW w:type="dxa" w:w="2100"/>
            <w:shd w:fill="D9E2EC"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Category subtotal</w:t>
            </w:r>
          </w:p>
        </w:tc>
        <w:tc>
          <w:tcPr>
            <w:tcW w:type="dxa" w:w="4266"/>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700"/>
            <w:shd w:fill="D9E2EC" w:val="clear"/>
            <w:tcMar>
              <w:top w:type="dxa" w:w="60"/>
              <w:left w:type="dxa" w:w="100"/>
              <w:bottom w:type="dxa" w:w="60"/>
              <w:right w:type="dxa" w:w="100"/>
            </w:tcMar>
            <w:vAlign w:val="center"/>
          </w:tcPr>
          <w:p>
            <w:pPr>
              <w:jc w:val="center"/>
            </w:pPr>
            <w:r>
              <w:rPr>
                <w:rFonts w:ascii="Calibri" w:cs="Calibri" w:eastAsia="Calibri" w:hAnsi="Calibri"/>
                <w:b/>
                <w:bCs/>
                <w:color w:val="000000"/>
                <w:sz w:val="19"/>
                <w:szCs w:val="19"/>
              </w:rPr>
              <w:t xml:space="preserve">70</w:t>
            </w:r>
          </w:p>
        </w:tc>
        <w:tc>
          <w:tcPr>
            <w:tcW w:type="dxa" w:w="15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900"/>
            <w:shd w:fill="D9E2EC"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
            </w:r>
          </w:p>
        </w:tc>
        <w:tc>
          <w:tcPr>
            <w:tcW w:type="dxa" w:w="1000"/>
            <w:shd w:fill="D9E2EC"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$8,400</w:t>
            </w:r>
          </w:p>
        </w:tc>
      </w:tr>
    </w:tbl>
    <w:p>
      <w:pPr>
        <w:spacing w:after="200"/>
      </w:pPr>
    </w:p>
    <w:p>
      <w:pPr>
        <w:pStyle w:val="Heading1"/>
        <w:spacing w:after="160" w:before="360"/>
      </w:pPr>
      <w:r>
        <w:rPr>
          <w:rFonts w:ascii="Calibri" w:cs="Calibri" w:eastAsia="Calibri" w:hAnsi="Calibri"/>
          <w:b/>
          <w:bCs/>
          <w:color w:val="1F3A5F"/>
          <w:sz w:val="30"/>
          <w:szCs w:val="30"/>
        </w:rPr>
        <w:t xml:space="preserve">5. Investment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200"/>
        <w:gridCol w:w="3000"/>
      </w:tblGrid>
      <w:tr>
        <w:trPr>
          <w:tblHeader/>
        </w:trPr>
        <w:tc>
          <w:tcPr>
            <w:tcW w:type="dxa" w:w="62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Line item</w:t>
            </w:r>
          </w:p>
        </w:tc>
        <w:tc>
          <w:tcPr>
            <w:tcW w:type="dxa" w:w="30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Amount (AUD)</w:t>
            </w:r>
          </w:p>
        </w:tc>
      </w:tr>
      <w:tr>
        <w:tc>
          <w:tcPr>
            <w:tcW w:type="dxa" w:w="6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Professional services (768 hrs, all categories above)</w:t>
            </w:r>
          </w:p>
        </w:tc>
        <w:tc>
          <w:tcPr>
            <w:tcW w:type="dxa" w:w="3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$96,870.00</w:t>
            </w:r>
          </w:p>
        </w:tc>
      </w:tr>
      <w:tr>
        <w:tc>
          <w:tcPr>
            <w:tcW w:type="dxa" w:w="62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Contingency / scope buffer (10%)</w:t>
            </w:r>
          </w:p>
        </w:tc>
        <w:tc>
          <w:tcPr>
            <w:tcW w:type="dxa" w:w="3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$9,687.00</w:t>
            </w:r>
          </w:p>
        </w:tc>
      </w:tr>
      <w:tr>
        <w:tc>
          <w:tcPr>
            <w:tcW w:type="dxa" w:w="6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Subtotal (excl. GST)</w:t>
            </w:r>
          </w:p>
        </w:tc>
        <w:tc>
          <w:tcPr>
            <w:tcW w:type="dxa" w:w="30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$106,557.00</w:t>
            </w:r>
          </w:p>
        </w:tc>
      </w:tr>
      <w:tr>
        <w:tc>
          <w:tcPr>
            <w:tcW w:type="dxa" w:w="62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GST (10%)</w:t>
            </w:r>
          </w:p>
        </w:tc>
        <w:tc>
          <w:tcPr>
            <w:tcW w:type="dxa" w:w="30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$10,655.70</w:t>
            </w:r>
          </w:p>
        </w:tc>
      </w:tr>
      <w:tr>
        <w:tc>
          <w:tcPr>
            <w:tcW w:type="dxa" w:w="62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TOTAL (incl. GST)</w:t>
            </w:r>
          </w:p>
        </w:tc>
        <w:tc>
          <w:tcPr>
            <w:tcW w:type="dxa" w:w="3000"/>
            <w:shd w:fill="FFFFFF"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$117,212.70</w:t>
            </w:r>
          </w:p>
        </w:tc>
      </w:tr>
    </w:tbl>
    <w:p>
      <w:pPr>
        <w:spacing w:after="200" w:before="200"/>
      </w:pPr>
    </w:p>
    <w:p>
      <w:pPr>
        <w:spacing w:after="160"/>
      </w:pPr>
      <w:r>
        <w:rPr>
          <w:rFonts w:ascii="Calibri" w:cs="Calibri" w:eastAsia="Calibri" w:hAnsi="Calibri"/>
          <w:i/>
          <w:iCs/>
          <w:color w:val="666666"/>
          <w:sz w:val="19"/>
          <w:szCs w:val="19"/>
        </w:rPr>
        <w:t xml:space="preserve">A 10% contingency is included as standard practice to absorb minor scope refinement during discovery without triggering a formal change request for every small clarification.</w:t>
      </w:r>
    </w:p>
    <w:p>
      <w:pPr>
        <w:pStyle w:val="Heading1"/>
        <w:spacing w:after="160" w:before="360"/>
      </w:pPr>
      <w:r>
        <w:rPr>
          <w:rFonts w:ascii="Calibri" w:cs="Calibri" w:eastAsia="Calibri" w:hAnsi="Calibri"/>
          <w:b/>
          <w:bCs/>
          <w:color w:val="1F3A5F"/>
          <w:sz w:val="30"/>
          <w:szCs w:val="30"/>
        </w:rPr>
        <w:t xml:space="preserve">6. Team &amp; Rate Card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500"/>
        <w:gridCol w:w="2500"/>
      </w:tblGrid>
      <w:tr>
        <w:trPr>
          <w:tblHeader/>
        </w:trPr>
        <w:tc>
          <w:tcPr>
            <w:tcW w:type="dxa" w:w="34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Role</w:t>
            </w:r>
          </w:p>
        </w:tc>
        <w:tc>
          <w:tcPr>
            <w:tcW w:type="dxa" w:w="18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Rate (AUD/hr)</w:t>
            </w:r>
          </w:p>
        </w:tc>
        <w:tc>
          <w:tcPr>
            <w:tcW w:type="dxa" w:w="15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Hours</w:t>
            </w:r>
          </w:p>
        </w:tc>
        <w:tc>
          <w:tcPr>
            <w:tcW w:type="dxa" w:w="25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Total (AUD)</w:t>
            </w:r>
          </w:p>
        </w:tc>
      </w:tr>
      <w:tr>
        <w:tc>
          <w:tcPr>
            <w:tcW w:type="dxa" w:w="34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Project Mgr / BA</w:t>
            </w:r>
          </w:p>
        </w:tc>
        <w:tc>
          <w:tcPr>
            <w:tcW w:type="dxa" w:w="18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$120</w:t>
            </w:r>
          </w:p>
        </w:tc>
        <w:tc>
          <w:tcPr>
            <w:tcW w:type="dxa" w:w="15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94</w:t>
            </w:r>
          </w:p>
        </w:tc>
        <w:tc>
          <w:tcPr>
            <w:tcW w:type="dxa" w:w="25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$11,280</w:t>
            </w:r>
          </w:p>
        </w:tc>
      </w:tr>
      <w:tr>
        <w:tc>
          <w:tcPr>
            <w:tcW w:type="dxa" w:w="34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Senior Backend Dev.</w:t>
            </w:r>
          </w:p>
        </w:tc>
        <w:tc>
          <w:tcPr>
            <w:tcW w:type="dxa" w:w="18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$145</w:t>
            </w:r>
          </w:p>
        </w:tc>
        <w:tc>
          <w:tcPr>
            <w:tcW w:type="dxa" w:w="15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388</w:t>
            </w:r>
          </w:p>
        </w:tc>
        <w:tc>
          <w:tcPr>
            <w:tcW w:type="dxa" w:w="25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$56,260</w:t>
            </w:r>
          </w:p>
        </w:tc>
      </w:tr>
      <w:tr>
        <w:tc>
          <w:tcPr>
            <w:tcW w:type="dxa" w:w="34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DevOps Engineer</w:t>
            </w:r>
          </w:p>
        </w:tc>
        <w:tc>
          <w:tcPr>
            <w:tcW w:type="dxa" w:w="18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$130</w:t>
            </w:r>
          </w:p>
        </w:tc>
        <w:tc>
          <w:tcPr>
            <w:tcW w:type="dxa" w:w="15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20</w:t>
            </w:r>
          </w:p>
        </w:tc>
        <w:tc>
          <w:tcPr>
            <w:tcW w:type="dxa" w:w="25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$2,600</w:t>
            </w:r>
          </w:p>
        </w:tc>
      </w:tr>
      <w:tr>
        <w:tc>
          <w:tcPr>
            <w:tcW w:type="dxa" w:w="34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Backend Developer</w:t>
            </w:r>
          </w:p>
        </w:tc>
        <w:tc>
          <w:tcPr>
            <w:tcW w:type="dxa" w:w="18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$105</w:t>
            </w:r>
          </w:p>
        </w:tc>
        <w:tc>
          <w:tcPr>
            <w:tcW w:type="dxa" w:w="15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206</w:t>
            </w:r>
          </w:p>
        </w:tc>
        <w:tc>
          <w:tcPr>
            <w:tcW w:type="dxa" w:w="25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$21,630</w:t>
            </w:r>
          </w:p>
        </w:tc>
      </w:tr>
      <w:tr>
        <w:tc>
          <w:tcPr>
            <w:tcW w:type="dxa" w:w="34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QA / Test Engineer</w:t>
            </w:r>
          </w:p>
        </w:tc>
        <w:tc>
          <w:tcPr>
            <w:tcW w:type="dxa" w:w="18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$85</w:t>
            </w:r>
          </w:p>
        </w:tc>
        <w:tc>
          <w:tcPr>
            <w:tcW w:type="dxa" w:w="15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60</w:t>
            </w:r>
          </w:p>
        </w:tc>
        <w:tc>
          <w:tcPr>
            <w:tcW w:type="dxa" w:w="25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$5,100</w:t>
            </w:r>
          </w:p>
        </w:tc>
      </w:tr>
      <w:tr>
        <w:tc>
          <w:tcPr>
            <w:tcW w:type="dxa" w:w="3400"/>
            <w:shd w:fill="EDF1F5"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TOTAL</w:t>
            </w:r>
          </w:p>
        </w:tc>
        <w:tc>
          <w:tcPr>
            <w:tcW w:type="dxa" w:w="1800"/>
            <w:shd w:fill="EDF1F5"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w:t>
            </w:r>
          </w:p>
        </w:tc>
        <w:tc>
          <w:tcPr>
            <w:tcW w:type="dxa" w:w="1500"/>
            <w:shd w:fill="EDF1F5"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768</w:t>
            </w:r>
          </w:p>
        </w:tc>
        <w:tc>
          <w:tcPr>
            <w:tcW w:type="dxa" w:w="2500"/>
            <w:shd w:fill="EDF1F5"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$96,870</w:t>
            </w:r>
          </w:p>
        </w:tc>
      </w:tr>
    </w:tbl>
    <w:p>
      <w:pPr>
        <w:spacing w:after="100" w:before="200"/>
      </w:pPr>
    </w:p>
    <w:p>
      <w:pPr>
        <w:pStyle w:val="Heading2"/>
        <w:spacing w:after="120" w:before="260"/>
      </w:pPr>
      <w:r>
        <w:rPr>
          <w:rFonts w:ascii="Calibri" w:cs="Calibri" w:eastAsia="Calibri" w:hAnsi="Calibri"/>
          <w:b/>
          <w:bCs/>
          <w:color w:val="1F3A5F"/>
          <w:sz w:val="24"/>
          <w:szCs w:val="24"/>
        </w:rPr>
        <w:t xml:space="preserve">Market rate benchmarking</w:t>
      </w:r>
    </w:p>
    <w:p>
      <w:pPr>
        <w:spacing w:after="160"/>
      </w:pPr>
      <w:r>
        <w:rPr>
          <w:rFonts w:ascii="Calibri" w:cs="Calibri" w:eastAsia="Calibri" w:hAnsi="Calibri"/>
          <w:sz w:val="21"/>
          <w:szCs w:val="21"/>
        </w:rPr>
        <w:t xml:space="preserve">Rates were benchmarked against the 2026 Australian market: freelance/contract backend (Node.js/NestJS) developers in Australia typically bill AUD $61–$100/hr direct, while senior specialists reach $75–$100+/hr; agency-delivered rates — which bundle project management, QA and delivery reliability — typically run AUD $100–$250/hr (sources: PayScale ‘Software Development Hourly Rate – Australia’; Lemon.io 2026 Australia rate calculator; Devstree ‘Dedicated Developer Rates in Australia 2026’). The rates used in this proposal sit in the mid range of that benchmark, reflecting the platform’s regulatory-compliance complexity (chemical withholding periods, full batch traceability) rather than routine CRUD development.</w:t>
      </w:r>
    </w:p>
    <w:p>
      <w:pPr>
        <w:pStyle w:val="Heading1"/>
        <w:spacing w:after="160" w:before="360"/>
      </w:pPr>
      <w:r>
        <w:rPr>
          <w:rFonts w:ascii="Calibri" w:cs="Calibri" w:eastAsia="Calibri" w:hAnsi="Calibri"/>
          <w:b/>
          <w:bCs/>
          <w:color w:val="1F3A5F"/>
          <w:sz w:val="30"/>
          <w:szCs w:val="30"/>
        </w:rPr>
        <w:t xml:space="preserve">7. Project Timeline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dxa" w:w="62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Delivery team composition</w:t>
            </w:r>
          </w:p>
        </w:tc>
        <w:tc>
          <w:tcPr>
            <w:tcW w:type="dxa" w:w="36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Estimated duration</w:t>
            </w:r>
          </w:p>
        </w:tc>
      </w:tr>
      <w:tr>
        <w:tc>
          <w:tcPr>
            <w:tcW w:type="dxa" w:w="6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1 senior developer, full-time</w:t>
            </w:r>
          </w:p>
        </w:tc>
        <w:tc>
          <w:tcPr>
            <w:tcW w:type="dxa" w:w="36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~20 weeks (~4.5 months)</w:t>
            </w:r>
          </w:p>
        </w:tc>
      </w:tr>
      <w:tr>
        <w:tc>
          <w:tcPr>
            <w:tcW w:type="dxa" w:w="62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2-person team (1 senior + 1 mid) + part-time QA/PM — recommended</w:t>
            </w:r>
          </w:p>
        </w:tc>
        <w:tc>
          <w:tcPr>
            <w:tcW w:type="dxa" w:w="36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12–14 weeks (~3 months)</w:t>
            </w:r>
          </w:p>
        </w:tc>
      </w:tr>
      <w:tr>
        <w:tc>
          <w:tcPr>
            <w:tcW w:type="dxa" w:w="62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3-person team (+ dedicated QA)</w:t>
            </w:r>
          </w:p>
        </w:tc>
        <w:tc>
          <w:tcPr>
            <w:tcW w:type="dxa" w:w="3600"/>
            <w:shd w:fill="FFFFFF"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9–11 weeks (~2.5 months)</w:t>
            </w:r>
          </w:p>
        </w:tc>
      </w:tr>
    </w:tbl>
    <w:p>
      <w:pPr>
        <w:spacing w:after="0" w:before="200"/>
      </w:pPr>
    </w:p>
    <w:p>
      <w:pPr>
        <w:spacing w:after="160"/>
      </w:pPr>
      <w:r>
        <w:rPr>
          <w:rFonts w:ascii="Calibri" w:cs="Calibri" w:eastAsia="Calibri" w:hAnsi="Calibri"/>
          <w:i/>
          <w:iCs/>
          <w:color w:val="666666"/>
          <w:sz w:val="19"/>
          <w:szCs w:val="19"/>
        </w:rPr>
        <w:t xml:space="preserve">Timelines assume iterative delivery in the module order shown in Section 4 (A → K), with client review checkpoints at the end of each category.</w:t>
      </w:r>
    </w:p>
    <w:p>
      <w:pPr>
        <w:pStyle w:val="Heading1"/>
        <w:spacing w:after="160" w:before="360"/>
      </w:pPr>
      <w:r>
        <w:rPr>
          <w:rFonts w:ascii="Calibri" w:cs="Calibri" w:eastAsia="Calibri" w:hAnsi="Calibri"/>
          <w:b/>
          <w:bCs/>
          <w:color w:val="1F3A5F"/>
          <w:sz w:val="30"/>
          <w:szCs w:val="30"/>
        </w:rPr>
        <w:t xml:space="preserve">8. Ongoing Maintenance &amp; Support Plans</w:t>
      </w:r>
    </w:p>
    <w:p>
      <w:pPr>
        <w:spacing w:after="160"/>
      </w:pPr>
      <w:r>
        <w:rPr>
          <w:rFonts w:ascii="Calibri" w:cs="Calibri" w:eastAsia="Calibri" w:hAnsi="Calibri"/>
          <w:sz w:val="21"/>
          <w:szCs w:val="21"/>
        </w:rPr>
        <w:t xml:space="preserve">Industry benchmarks put annual software maintenance at 15–25% of the original development investment. The plans below are built around that benchmark and offered as a 30-day rolling agreement, billed monthly in advance (GST additional if applicable).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900"/>
        <w:gridCol w:w="1650"/>
        <w:gridCol w:w="1850"/>
      </w:tblGrid>
      <w:tr>
        <w:trPr>
          <w:tblHeader/>
        </w:trPr>
        <w:tc>
          <w:tcPr>
            <w:tcW w:type="dxa" w:w="25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Plan</w:t>
            </w:r>
          </w:p>
        </w:tc>
        <w:tc>
          <w:tcPr>
            <w:tcW w:type="dxa" w:w="15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Included hrs/mo</w:t>
            </w:r>
          </w:p>
        </w:tc>
        <w:tc>
          <w:tcPr>
            <w:tcW w:type="dxa" w:w="29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Response SLA</w:t>
            </w:r>
          </w:p>
        </w:tc>
        <w:tc>
          <w:tcPr>
            <w:tcW w:type="dxa" w:w="165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Monthly fee (AUD)</w:t>
            </w:r>
          </w:p>
        </w:tc>
        <w:tc>
          <w:tcPr>
            <w:tcW w:type="dxa" w:w="185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Annual equiv.</w:t>
            </w:r>
          </w:p>
        </w:tc>
      </w:tr>
      <w:tr>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Essential</w:t>
            </w:r>
          </w:p>
        </w:tc>
        <w:tc>
          <w:tcPr>
            <w:tcW w:type="dxa" w:w="15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8h</w:t>
            </w:r>
          </w:p>
        </w:tc>
        <w:tc>
          <w:tcPr>
            <w:tcW w:type="dxa" w:w="29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48h std / 24h critical</w:t>
            </w:r>
          </w:p>
        </w:tc>
        <w:tc>
          <w:tcPr>
            <w:tcW w:type="dxa" w:w="165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$960</w:t>
            </w:r>
          </w:p>
        </w:tc>
        <w:tc>
          <w:tcPr>
            <w:tcW w:type="dxa" w:w="185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$11,520 (~12%)</w:t>
            </w:r>
          </w:p>
        </w:tc>
      </w:tr>
      <w:tr>
        <w:tc>
          <w:tcPr>
            <w:tcW w:type="dxa" w:w="25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Standard — Recommended</w:t>
            </w:r>
          </w:p>
        </w:tc>
        <w:tc>
          <w:tcPr>
            <w:tcW w:type="dxa" w:w="15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16h</w:t>
            </w:r>
          </w:p>
        </w:tc>
        <w:tc>
          <w:tcPr>
            <w:tcW w:type="dxa" w:w="29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24h std / 8h critical</w:t>
            </w:r>
          </w:p>
        </w:tc>
        <w:tc>
          <w:tcPr>
            <w:tcW w:type="dxa" w:w="165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$1,920</w:t>
            </w:r>
          </w:p>
        </w:tc>
        <w:tc>
          <w:tcPr>
            <w:tcW w:type="dxa" w:w="185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$23,040 (~24%)</w:t>
            </w:r>
          </w:p>
        </w:tc>
      </w:tr>
      <w:tr>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Priority</w:t>
            </w:r>
          </w:p>
        </w:tc>
        <w:tc>
          <w:tcPr>
            <w:tcW w:type="dxa" w:w="1500"/>
            <w:shd w:fill="FFFFFF"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32h</w:t>
            </w:r>
          </w:p>
        </w:tc>
        <w:tc>
          <w:tcPr>
            <w:tcW w:type="dxa" w:w="2900"/>
            <w:shd w:fill="FFFFFF"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8h std / 4h critical, dedicated channel</w:t>
            </w:r>
          </w:p>
        </w:tc>
        <w:tc>
          <w:tcPr>
            <w:tcW w:type="dxa" w:w="1650"/>
            <w:shd w:fill="FFFFFF"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$4,160</w:t>
            </w:r>
          </w:p>
        </w:tc>
        <w:tc>
          <w:tcPr>
            <w:tcW w:type="dxa" w:w="1850"/>
            <w:shd w:fill="FFFFFF"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$49,920 (~52%)</w:t>
            </w:r>
          </w:p>
        </w:tc>
      </w:tr>
    </w:tbl>
    <w:p>
      <w:pPr>
        <w:spacing w:after="100" w:before="200"/>
      </w:pPr>
    </w:p>
    <w:p>
      <w:pPr>
        <w:spacing w:after="160"/>
      </w:pPr>
      <w:r>
        <w:rPr>
          <w:rFonts w:ascii="Calibri" w:cs="Calibri" w:eastAsia="Calibri" w:hAnsi="Calibri"/>
          <w:sz w:val="20"/>
          <w:szCs w:val="20"/>
        </w:rPr>
        <w:t xml:space="preserve">All plans include: security patches and dependency updates, uptime/error-rate monitoring, and monthly database backup verification. Standard adds minor enhancements and a monthly health report. Priority adds new-feature development hours, a dedicated support channel, quarterly architecture review and production on-call.</w:t>
      </w:r>
    </w:p>
    <w:p>
      <w:pPr>
        <w:pStyle w:val="Heading1"/>
        <w:spacing w:after="160" w:before="360"/>
      </w:pPr>
      <w:r>
        <w:rPr>
          <w:rFonts w:ascii="Calibri" w:cs="Calibri" w:eastAsia="Calibri" w:hAnsi="Calibri"/>
          <w:b/>
          <w:bCs/>
          <w:color w:val="1F3A5F"/>
          <w:sz w:val="30"/>
          <w:szCs w:val="30"/>
        </w:rPr>
        <w:t xml:space="preserve">9. Payment Terms &amp; Milestones</w:t>
      </w:r>
    </w:p>
    <w:p>
      <w:pPr>
        <w:pStyle w:val="ListParagraph"/>
        <w:numPr>
          <w:ilvl w:val="0"/>
          <w:numId w:val="2"/>
        </w:numPr>
        <w:spacing w:after="80"/>
      </w:pPr>
      <w:r>
        <w:rPr>
          <w:rFonts w:ascii="Calibri" w:cs="Calibri" w:eastAsia="Calibri" w:hAnsi="Calibri"/>
          <w:sz w:val="21"/>
          <w:szCs w:val="21"/>
        </w:rPr>
        <w:t xml:space="preserve">25% — on signing, prior to project mobilisation.</w:t>
      </w:r>
    </w:p>
    <w:p>
      <w:pPr>
        <w:pStyle w:val="ListParagraph"/>
        <w:numPr>
          <w:ilvl w:val="0"/>
          <w:numId w:val="2"/>
        </w:numPr>
        <w:spacing w:after="80"/>
      </w:pPr>
      <w:r>
        <w:rPr>
          <w:rFonts w:ascii="Calibri" w:cs="Calibri" w:eastAsia="Calibri" w:hAnsi="Calibri"/>
          <w:sz w:val="21"/>
          <w:szCs w:val="21"/>
        </w:rPr>
        <w:t xml:space="preserve">25% — on completion of Categories A–C (Foundation, Identity &amp; Access, Core Catalogs).</w:t>
      </w:r>
    </w:p>
    <w:p>
      <w:pPr>
        <w:pStyle w:val="ListParagraph"/>
        <w:numPr>
          <w:ilvl w:val="0"/>
          <w:numId w:val="2"/>
        </w:numPr>
        <w:spacing w:after="80"/>
      </w:pPr>
      <w:r>
        <w:rPr>
          <w:rFonts w:ascii="Calibri" w:cs="Calibri" w:eastAsia="Calibri" w:hAnsi="Calibri"/>
          <w:sz w:val="21"/>
          <w:szCs w:val="21"/>
        </w:rPr>
        <w:t xml:space="preserve">25% — on completion of Categories D–G (Chemical Compliance, Seed/Nursery, Greenhouse Infrastructure).</w:t>
      </w:r>
    </w:p>
    <w:p>
      <w:pPr>
        <w:pStyle w:val="ListParagraph"/>
        <w:numPr>
          <w:ilvl w:val="0"/>
          <w:numId w:val="2"/>
        </w:numPr>
        <w:spacing w:after="80"/>
      </w:pPr>
      <w:r>
        <w:rPr>
          <w:rFonts w:ascii="Calibri" w:cs="Calibri" w:eastAsia="Calibri" w:hAnsi="Calibri"/>
          <w:sz w:val="21"/>
          <w:szCs w:val="21"/>
        </w:rPr>
        <w:t xml:space="preserve">25% — on completion of Categories H–K (Crop Lifecycle, Traceability, QA sign-off) and client User Acceptance Testing, prior to go-live.</w:t>
      </w:r>
    </w:p>
    <w:p>
      <w:pPr>
        <w:spacing w:after="160"/>
      </w:pPr>
      <w:r>
        <w:rPr>
          <w:rFonts w:ascii="Calibri" w:cs="Calibri" w:eastAsia="Calibri" w:hAnsi="Calibri"/>
          <w:sz w:val="21"/>
          <w:szCs w:val="21"/>
        </w:rPr>
        <w:t xml:space="preserve">Maintenance and support fees are invoiced monthly in advance once the platform is live. Standard payment terms are 14 days net from invoice date.</w:t>
      </w:r>
    </w:p>
    <w:p>
      <w:pPr>
        <w:pStyle w:val="Heading1"/>
        <w:spacing w:after="160" w:before="360"/>
      </w:pPr>
      <w:r>
        <w:rPr>
          <w:rFonts w:ascii="Calibri" w:cs="Calibri" w:eastAsia="Calibri" w:hAnsi="Calibri"/>
          <w:b/>
          <w:bCs/>
          <w:color w:val="1F3A5F"/>
          <w:sz w:val="30"/>
          <w:szCs w:val="30"/>
        </w:rPr>
        <w:t xml:space="preserve">10. Assumptions, Exclusions &amp; Terms</w:t>
      </w:r>
    </w:p>
    <w:p>
      <w:pPr>
        <w:pStyle w:val="ListParagraph"/>
        <w:numPr>
          <w:ilvl w:val="0"/>
          <w:numId w:val="2"/>
        </w:numPr>
        <w:spacing w:after="80"/>
      </w:pPr>
      <w:r>
        <w:rPr>
          <w:rFonts w:ascii="Calibri" w:cs="Calibri" w:eastAsia="Calibri" w:hAnsi="Calibri"/>
          <w:sz w:val="21"/>
          <w:szCs w:val="21"/>
        </w:rPr>
        <w:t xml:space="preserve">Frontend/mobile application development, third-party integrations (SMS, email, payment gateways) and cloud infrastructure costs are excluded from this quote unless separately itemised.</w:t>
      </w:r>
    </w:p>
    <w:p>
      <w:pPr>
        <w:pStyle w:val="ListParagraph"/>
        <w:numPr>
          <w:ilvl w:val="0"/>
          <w:numId w:val="2"/>
        </w:numPr>
        <w:spacing w:after="80"/>
      </w:pPr>
      <w:r>
        <w:rPr>
          <w:rFonts w:ascii="Calibri" w:cs="Calibri" w:eastAsia="Calibri" w:hAnsi="Calibri"/>
          <w:sz w:val="21"/>
          <w:szCs w:val="21"/>
        </w:rPr>
        <w:t xml:space="preserve">Estimate is based on the scope of 21 modules / 121 endpoints identified during the analysis described in this document; features not covered above are out of scope until formally added via change request.</w:t>
      </w:r>
    </w:p>
    <w:p>
      <w:pPr>
        <w:pStyle w:val="ListParagraph"/>
        <w:numPr>
          <w:ilvl w:val="0"/>
          <w:numId w:val="2"/>
        </w:numPr>
        <w:spacing w:after="80"/>
      </w:pPr>
      <w:r>
        <w:rPr>
          <w:rFonts w:ascii="Calibri" w:cs="Calibri" w:eastAsia="Calibri" w:hAnsi="Calibri"/>
          <w:sz w:val="21"/>
          <w:szCs w:val="21"/>
        </w:rPr>
        <w:t xml:space="preserve">Change requests are quoted and approved in writing before work begins and billed at the standard hourly rates in Section 6.</w:t>
      </w:r>
    </w:p>
    <w:p>
      <w:pPr>
        <w:pStyle w:val="ListParagraph"/>
        <w:numPr>
          <w:ilvl w:val="0"/>
          <w:numId w:val="2"/>
        </w:numPr>
        <w:spacing w:after="80"/>
      </w:pPr>
      <w:r>
        <w:rPr>
          <w:rFonts w:ascii="Calibri" w:cs="Calibri" w:eastAsia="Calibri" w:hAnsi="Calibri"/>
          <w:sz w:val="21"/>
          <w:szCs w:val="21"/>
        </w:rPr>
        <w:t xml:space="preserve">Intellectual property in the delivered code transfers to the client upon full payment.</w:t>
      </w:r>
    </w:p>
    <w:p>
      <w:pPr>
        <w:pStyle w:val="ListParagraph"/>
        <w:numPr>
          <w:ilvl w:val="0"/>
          <w:numId w:val="2"/>
        </w:numPr>
        <w:spacing w:after="80"/>
      </w:pPr>
      <w:r>
        <w:rPr>
          <w:rFonts w:ascii="Calibri" w:cs="Calibri" w:eastAsia="Calibri" w:hAnsi="Calibri"/>
          <w:sz w:val="21"/>
          <w:szCs w:val="21"/>
        </w:rPr>
        <w:t xml:space="preserve">This is a good-faith estimate based on the requirements known at the time of writing; a fixed-price contract would be finalised after the Discovery phase (Section 4, item A.1).</w:t>
      </w:r>
    </w:p>
    <w:p>
      <w:pPr>
        <w:pStyle w:val="Heading1"/>
        <w:spacing w:after="160" w:before="360"/>
      </w:pPr>
      <w:r>
        <w:rPr>
          <w:rFonts w:ascii="Calibri" w:cs="Calibri" w:eastAsia="Calibri" w:hAnsi="Calibri"/>
          <w:b/>
          <w:bCs/>
          <w:color w:val="1F3A5F"/>
          <w:sz w:val="30"/>
          <w:szCs w:val="30"/>
        </w:rPr>
        <w:t xml:space="preserve">11. Quote Validity &amp; Next Steps</w:t>
      </w:r>
    </w:p>
    <w:p>
      <w:pPr>
        <w:spacing w:after="160"/>
      </w:pPr>
      <w:r>
        <w:rPr>
          <w:rFonts w:ascii="Calibri" w:cs="Calibri" w:eastAsia="Calibri" w:hAnsi="Calibri"/>
          <w:sz w:val="21"/>
          <w:szCs w:val="21"/>
        </w:rPr>
        <w:t xml:space="preserve">This proposal is valid for 30 days from the document date above (until 13 August 2026). To proceed: (1) confirm acceptance in writing or by signing below, (2) remit the 25% mobilisation payment, (3) we schedule the Discovery workshop to kick off the project.</w:t>
      </w:r>
    </w:p>
    <w:p>
      <w:pPr>
        <w:spacing w:before="500"/>
      </w:pPr>
    </w:p>
    <w:p>
      <w:pPr>
        <w:pBdr>
          <w:bottom w:val="single" w:color="CCCCCC" w:sz="6" w:space="1"/>
        </w:pBdr>
        <w:spacing w:after="200" w:before="100"/>
      </w:pPr>
    </w:p>
    <w:p>
      <w:pPr>
        <w:pStyle w:val="Heading2"/>
        <w:spacing w:after="120" w:before="260"/>
      </w:pPr>
      <w:r>
        <w:rPr>
          <w:rFonts w:ascii="Calibri" w:cs="Calibri" w:eastAsia="Calibri" w:hAnsi="Calibri"/>
          <w:b/>
          <w:bCs/>
          <w:color w:val="1F3A5F"/>
          <w:sz w:val="24"/>
          <w:szCs w:val="24"/>
        </w:rPr>
        <w:t xml:space="preserve">Acceptance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300"/>
      </w:tblGrid>
      <w:tr>
        <w:trPr>
          <w:tblHeader/>
        </w:trPr>
        <w:tc>
          <w:tcPr>
            <w:tcW w:type="dxa" w:w="1600"/>
            <w:shd w:fill="1F3A5F"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
            </w:r>
          </w:p>
        </w:tc>
        <w:tc>
          <w:tcPr>
            <w:tcW w:type="dxa" w:w="43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Vendor</w:t>
            </w:r>
          </w:p>
        </w:tc>
        <w:tc>
          <w:tcPr>
            <w:tcW w:type="dxa" w:w="4300"/>
            <w:shd w:fill="1F3A5F" w:val="clear"/>
            <w:tcMar>
              <w:top w:type="dxa" w:w="60"/>
              <w:left w:type="dxa" w:w="100"/>
              <w:bottom w:type="dxa" w:w="60"/>
              <w:right w:type="dxa" w:w="100"/>
            </w:tcMar>
            <w:vAlign w:val="center"/>
          </w:tcPr>
          <w:p>
            <w:pPr>
              <w:jc w:val="right"/>
            </w:pPr>
            <w:r>
              <w:rPr>
                <w:rFonts w:ascii="Calibri" w:cs="Calibri" w:eastAsia="Calibri" w:hAnsi="Calibri"/>
                <w:b/>
                <w:bCs/>
                <w:color w:val="FFFFFF"/>
                <w:sz w:val="19"/>
                <w:szCs w:val="19"/>
              </w:rPr>
              <w:t xml:space="preserve">Client</w:t>
            </w:r>
          </w:p>
        </w:tc>
      </w:tr>
      <w:tr>
        <w:tc>
          <w:tcPr>
            <w:tcW w:type="dxa" w:w="1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Name</w:t>
            </w:r>
          </w:p>
        </w:tc>
        <w:tc>
          <w:tcPr>
            <w:tcW w:type="dxa" w:w="43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
            </w:r>
          </w:p>
        </w:tc>
        <w:tc>
          <w:tcPr>
            <w:tcW w:type="dxa" w:w="4300"/>
            <w:shd w:fill="FFFFFF"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
            </w:r>
          </w:p>
        </w:tc>
      </w:tr>
      <w:tr>
        <w:tc>
          <w:tcPr>
            <w:tcW w:type="dxa" w:w="1600"/>
            <w:shd w:fill="EDF1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Signature</w:t>
            </w:r>
          </w:p>
        </w:tc>
        <w:tc>
          <w:tcPr>
            <w:tcW w:type="dxa" w:w="43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
            </w:r>
          </w:p>
        </w:tc>
        <w:tc>
          <w:tcPr>
            <w:tcW w:type="dxa" w:w="4300"/>
            <w:shd w:fill="EDF1F5" w:val="clear"/>
            <w:tcMar>
              <w:top w:type="dxa" w:w="60"/>
              <w:left w:type="dxa" w:w="100"/>
              <w:bottom w:type="dxa" w:w="60"/>
              <w:right w:type="dxa" w:w="100"/>
            </w:tcMar>
            <w:vAlign w:val="center"/>
          </w:tcPr>
          <w:p>
            <w:pPr>
              <w:jc w:val="right"/>
            </w:pPr>
            <w:r>
              <w:rPr>
                <w:rFonts w:ascii="Calibri" w:cs="Calibri" w:eastAsia="Calibri" w:hAnsi="Calibri"/>
                <w:b w:val="false"/>
                <w:bCs w:val="false"/>
                <w:color w:val="000000"/>
                <w:sz w:val="19"/>
                <w:szCs w:val="19"/>
              </w:rPr>
              <w:t xml:space="preserve"/>
            </w:r>
          </w:p>
        </w:tc>
      </w:tr>
      <w:tr>
        <w:tc>
          <w:tcPr>
            <w:tcW w:type="dxa" w:w="1600"/>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9"/>
                <w:szCs w:val="19"/>
              </w:rPr>
              <w:t xml:space="preserve">Date</w:t>
            </w:r>
          </w:p>
        </w:tc>
        <w:tc>
          <w:tcPr>
            <w:tcW w:type="dxa" w:w="4300"/>
            <w:shd w:fill="FFFFFF"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
            </w:r>
          </w:p>
        </w:tc>
        <w:tc>
          <w:tcPr>
            <w:tcW w:type="dxa" w:w="4300"/>
            <w:shd w:fill="FFFFFF" w:val="clear"/>
            <w:tcMar>
              <w:top w:type="dxa" w:w="60"/>
              <w:left w:type="dxa" w:w="100"/>
              <w:bottom w:type="dxa" w:w="60"/>
              <w:right w:type="dxa" w:w="100"/>
            </w:tcMar>
            <w:vAlign w:val="center"/>
          </w:tcPr>
          <w:p>
            <w:pPr>
              <w:jc w:val="right"/>
            </w:pPr>
            <w:r>
              <w:rPr>
                <w:rFonts w:ascii="Calibri" w:cs="Calibri" w:eastAsia="Calibri" w:hAnsi="Calibri"/>
                <w:b/>
                <w:bCs/>
                <w:color w:val="000000"/>
                <w:sz w:val="19"/>
                <w:szCs w:val="19"/>
              </w:rPr>
              <w:t xml:space="preserve"/>
            </w:r>
          </w:p>
        </w:tc>
      </w:tr>
    </w:tbl>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666666"/>
        <w:sz w:val="16"/>
        <w:szCs w:val="16"/>
      </w:rPr>
      <w:t xml:space="preserve">Agrisano Backend Platform — Formal Proposal</w:t>
    </w:r>
    <w:r>
      <w:rPr>
        <w:rFonts w:ascii="Calibri" w:cs="Calibri" w:eastAsia="Calibri" w:hAnsi="Calibri"/>
        <w:color w:val="666666"/>
        <w:sz w:val="16"/>
        <w:szCs w:val="16"/>
      </w:rPr>
      <w:t xml:space="preserve">	Quote AGS-2026-001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2026-07-14T15:12:51.359Z</dcterms:created>
  <dcterms:modified xsi:type="dcterms:W3CDTF">2026-07-14T15:12:51.360Z</dcterms:modified>
</cp:coreProperties>
</file>

<file path=docProps/custom.xml><?xml version="1.0" encoding="utf-8"?>
<Properties xmlns="http://schemas.openxmlformats.org/officeDocument/2006/custom-properties" xmlns:vt="http://schemas.openxmlformats.org/officeDocument/2006/docPropsVTypes"/>
</file>