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GT 1 Usos de información estadística y acceso a datos públicos</w:t>
      </w:r>
    </w:p>
    <w:p>
      <w:r>
        <w:rPr>
          <w:b/>
        </w:rPr>
        <w:t>Sesión 4 Ejes para la discusión</w:t>
      </w:r>
    </w:p>
    <w:p>
      <w:r>
        <w:t>Jueves de 14:30 a 16:30</w:t>
      </w:r>
    </w:p>
    <w:p>
      <w:r>
        <w:t>Moderación a cargo de Delia González</w:t>
      </w:r>
    </w:p>
    <w:p>
      <w:pPr>
        <w:pStyle w:val="Heading1"/>
      </w:pPr>
      <w:r>
        <w:t>Trabajos presentados</w:t>
      </w:r>
    </w:p>
    <w:p>
      <w:pPr>
        <w:pStyle w:val="ListBullet"/>
        <w:spacing w:after="80"/>
      </w:pPr>
      <w:r>
        <w:rPr>
          <w:b/>
        </w:rPr>
        <w:t xml:space="preserve">Grupo 1: </w:t>
      </w:r>
      <w:r>
        <w:t>Cecilia Adrogué y Eugenia Orlicki</w:t>
      </w:r>
    </w:p>
    <w:p>
      <w:pPr>
        <w:pStyle w:val="ListBullet"/>
        <w:spacing w:after="80"/>
      </w:pPr>
      <w:r>
        <w:rPr>
          <w:b/>
        </w:rPr>
        <w:t xml:space="preserve">Grupo 2: </w:t>
      </w:r>
      <w:r>
        <w:t>Ivana Templado, Lara Encinas y Stefano Pistoia</w:t>
      </w:r>
    </w:p>
    <w:p>
      <w:pPr>
        <w:pStyle w:val="ListBullet"/>
        <w:spacing w:after="80"/>
      </w:pPr>
      <w:r>
        <w:rPr>
          <w:b/>
        </w:rPr>
        <w:t xml:space="preserve">Grupo 3: </w:t>
      </w:r>
      <w:r>
        <w:t>Mirta Torres y Diego Born</w:t>
      </w:r>
    </w:p>
    <w:p>
      <w:pPr>
        <w:pStyle w:val="ListBullet"/>
        <w:spacing w:after="80"/>
      </w:pPr>
      <w:r>
        <w:rPr>
          <w:b/>
        </w:rPr>
        <w:t xml:space="preserve">Grupo 4: </w:t>
      </w:r>
      <w:r>
        <w:t>Jimena Macció, Sonia Susini y Flavio Guberman</w:t>
      </w:r>
    </w:p>
    <w:p>
      <w:pPr>
        <w:pStyle w:val="Heading1"/>
      </w:pPr>
      <w:r>
        <w:t>Dinámica propuesta para la presentación de trabajos</w:t>
      </w:r>
    </w:p>
    <w:p>
      <w:pPr>
        <w:pStyle w:val="ListBullet"/>
        <w:spacing w:after="80"/>
      </w:pPr>
      <w:r>
        <w:rPr>
          <w:b/>
        </w:rPr>
        <w:t xml:space="preserve">Primer bloque: </w:t>
      </w:r>
      <w:r>
        <w:t>Se presentan los trabajos de los grupos 1 y 2. Cada grupo dispondrá de aproximadamente 15 minutos para la presentación y se destinarán 30 minutos para el intercambio.</w:t>
      </w:r>
    </w:p>
    <w:p>
      <w:pPr>
        <w:pStyle w:val="ListBullet"/>
        <w:spacing w:after="80"/>
      </w:pPr>
      <w:r>
        <w:rPr>
          <w:b/>
        </w:rPr>
        <w:t xml:space="preserve">Segundo bloque: </w:t>
      </w:r>
      <w:r>
        <w:t>Se presentan los trabajos de los grupos 3 y 4. Cada grupo dispondrá de aproximadamente 15 minutos para la presentación y se destinarán 30 minutos para el intercambio.</w:t>
      </w:r>
    </w:p>
    <w:p>
      <w:pPr>
        <w:pStyle w:val="Heading1"/>
      </w:pPr>
      <w:r>
        <w:t>Ejes para organizar los intercambios</w:t>
      </w:r>
    </w:p>
    <w:p>
      <w:r>
        <w:t>A partir de los argumentos planteados por quienes participan en esta sesión, se proponen los siguientes ejes para organizar los intercambios.</w:t>
      </w:r>
    </w:p>
    <w:p>
      <w:pPr>
        <w:pStyle w:val="Heading2"/>
      </w:pPr>
      <w:r>
        <w:t>Eje 1 Desafíos de la evaluación de impacto</w:t>
      </w:r>
    </w:p>
    <w:p>
      <w:r>
        <w:rPr>
          <w:b/>
        </w:rPr>
        <w:t xml:space="preserve">Problema central: </w:t>
      </w:r>
      <w:r>
        <w:t>Aunque ha crecido el uso de evaluaciones cuantitativas para medir trayectorias educativas, persisten barreras institucionales relacionadas con la disponibilidad de datos, la comunicación efectiva de los hallazgos y su articulación con indagaciones cualitativas.</w:t>
      </w:r>
    </w:p>
    <w:p>
      <w:pPr>
        <w:pStyle w:val="ListBullet"/>
        <w:spacing w:after="80"/>
      </w:pPr>
      <w:r>
        <w:rPr>
          <w:b/>
        </w:rPr>
        <w:t xml:space="preserve">Retroalimentación efectiva de políticas públicas: </w:t>
      </w:r>
      <w:r>
        <w:t>¿En qué medida los resultados de las evaluaciones de impacto generan información valiosa y oportuna para ajustar las intervenciones en el aula?</w:t>
      </w:r>
    </w:p>
    <w:p>
      <w:pPr>
        <w:pStyle w:val="ListBullet"/>
        <w:spacing w:after="80"/>
      </w:pPr>
      <w:r>
        <w:rPr>
          <w:b/>
        </w:rPr>
        <w:t xml:space="preserve">Complementariedad metodológica: </w:t>
      </w:r>
      <w:r>
        <w:t>¿Cómo dialogan e integran los resultados cuantitativos de impacto con las evaluaciones de procesos e indagaciones cualitativas para comprender la complejidad escolar?</w:t>
      </w:r>
    </w:p>
    <w:p>
      <w:pPr>
        <w:pStyle w:val="ListBullet"/>
        <w:spacing w:after="80"/>
      </w:pPr>
      <w:r>
        <w:rPr>
          <w:b/>
        </w:rPr>
        <w:t xml:space="preserve">Apropiación y transferencia: </w:t>
      </w:r>
      <w:r>
        <w:t>¿Cuáles son las estrategias más fructíferas para comunicar y trabajar los resultados junto con referentes y tomadores de decisión de las políticas educativas?</w:t>
      </w:r>
    </w:p>
    <w:p>
      <w:pPr>
        <w:pStyle w:val="Heading2"/>
      </w:pPr>
      <w:r>
        <w:t>Eje 2 Integración de fuentes y sentido de uso de la información</w:t>
      </w:r>
    </w:p>
    <w:p>
      <w:r>
        <w:rPr>
          <w:b/>
        </w:rPr>
        <w:t xml:space="preserve">Problema central: </w:t>
      </w:r>
      <w:r>
        <w:t>La producción fragmentada de datos en circuitos, formatos y tiempos diversos, como evaluaciones, registros administrativos y sistemas nominales, dificulta construir lecturas integrales del sistema educativo.</w:t>
      </w:r>
    </w:p>
    <w:p>
      <w:pPr>
        <w:pStyle w:val="ListBullet"/>
        <w:spacing w:after="80"/>
      </w:pPr>
      <w:r>
        <w:rPr>
          <w:b/>
        </w:rPr>
        <w:t xml:space="preserve">Superar la lógica del cruce de bases: </w:t>
      </w:r>
      <w:r>
        <w:t>Entender la integración no como un procedimiento puramente técnico, sino como la definición de sentidos de uso: para qué se integra, quién consume la información y qué decisiones habilita o limita.</w:t>
      </w:r>
    </w:p>
    <w:p>
      <w:pPr>
        <w:pStyle w:val="ListBullet"/>
        <w:spacing w:after="80"/>
      </w:pPr>
      <w:r>
        <w:rPr>
          <w:b/>
        </w:rPr>
        <w:t xml:space="preserve">Construcción de herramientas para la intervención: </w:t>
      </w:r>
      <w:r>
        <w:t>Pasar del diagnóstico generalista a herramientas oportunas, situadas y operativas para todos los niveles educativos.</w:t>
      </w:r>
    </w:p>
    <w:p>
      <w:pPr>
        <w:pStyle w:val="Heading2"/>
      </w:pPr>
      <w:r>
        <w:t>Eje 3 Escalas y temporalidades entre la mirada sistémica y la intervención situada</w:t>
      </w:r>
    </w:p>
    <w:p>
      <w:r>
        <w:rPr>
          <w:b/>
        </w:rPr>
        <w:t xml:space="preserve">Problema central: </w:t>
      </w:r>
      <w:r>
        <w:t>La tensión entre el seguimiento de la trayectoria individual mediante datos nominales y la comprensión de las tendencias generales del sistema mediante datos agregados.</w:t>
      </w:r>
    </w:p>
    <w:p>
      <w:pPr>
        <w:pStyle w:val="ListBullet"/>
        <w:spacing w:after="80"/>
      </w:pPr>
      <w:r>
        <w:rPr>
          <w:b/>
        </w:rPr>
        <w:t xml:space="preserve">Riesgo de despolitización e individualización: </w:t>
      </w:r>
      <w:r>
        <w:t>Atender casos puntuales no debe invisibilizar los problemas estructurales de aprendizaje, las desigualdades sociales ni las condiciones institucionales.</w:t>
      </w:r>
    </w:p>
    <w:p>
      <w:pPr>
        <w:pStyle w:val="ListBullet"/>
        <w:spacing w:after="80"/>
      </w:pPr>
      <w:r>
        <w:rPr>
          <w:b/>
        </w:rPr>
        <w:t xml:space="preserve">Mediaciones articuladoras: </w:t>
      </w:r>
      <w:r>
        <w:t>Diseñar dispositivos técnicos, pedagógicos y ético-políticos que permitan atender la trayectoria real del estudiante sin perder de vista las políticas educativas de alcance sistémico.</w:t>
      </w:r>
    </w:p>
    <w:p>
      <w:pPr>
        <w:pStyle w:val="Heading2"/>
      </w:pPr>
      <w:r>
        <w:t>Eje 4 Evaluación e interpretación pedagógica</w:t>
      </w:r>
    </w:p>
    <w:p>
      <w:r>
        <w:rPr>
          <w:b/>
        </w:rPr>
        <w:t xml:space="preserve">Problema central: </w:t>
      </w:r>
      <w:r>
        <w:t>El riesgo de convertir el resultado de una evaluación en una medida autosuficiente, aislada y descontextualizada de la calidad educativa.</w:t>
      </w:r>
    </w:p>
    <w:p>
      <w:pPr>
        <w:pStyle w:val="ListBullet"/>
        <w:spacing w:after="80"/>
      </w:pPr>
      <w:r>
        <w:rPr>
          <w:b/>
        </w:rPr>
        <w:t xml:space="preserve">Lectura situada: </w:t>
      </w:r>
      <w:r>
        <w:t>Cruzar los resultados estandarizados o cuantitativos con las condiciones de producción pedagógicas y socioculturales de cada escuela.</w:t>
      </w:r>
    </w:p>
    <w:p>
      <w:pPr>
        <w:pStyle w:val="ListBullet"/>
        <w:spacing w:after="80"/>
      </w:pPr>
      <w:r>
        <w:rPr>
          <w:b/>
        </w:rPr>
        <w:t xml:space="preserve">Mediaciones pedagógicas: </w:t>
      </w:r>
      <w:r>
        <w:t>Transformar la difusión de reportes en preguntas de trabajo e interpretaciones útiles para que supervisores, directivos y docentes puedan actuar.</w:t>
      </w:r>
    </w:p>
    <w:p>
      <w:pPr>
        <w:pStyle w:val="Heading2"/>
      </w:pPr>
      <w:r>
        <w:t>Eje 5 Dimensión ético política del dato público y nominalizado</w:t>
      </w:r>
    </w:p>
    <w:p>
      <w:r>
        <w:rPr>
          <w:b/>
        </w:rPr>
        <w:t xml:space="preserve">Problema central: </w:t>
      </w:r>
      <w:r>
        <w:t>La evaluación como acción política que clasifica, visibiliza, genera discursos y produce consecuencias concretas sobre escuelas, docentes y estudiantes.</w:t>
      </w:r>
    </w:p>
    <w:p>
      <w:pPr>
        <w:pStyle w:val="ListBullet"/>
        <w:spacing w:after="80"/>
      </w:pPr>
      <w:r>
        <w:rPr>
          <w:b/>
        </w:rPr>
        <w:t xml:space="preserve">Responsabilidad en la circulación: </w:t>
      </w:r>
      <w:r>
        <w:t>Establecer protocolos y criterios éticos para el acceso, uso y difusión de información sensible o nominalizada.</w:t>
      </w:r>
    </w:p>
    <w:p>
      <w:pPr>
        <w:pStyle w:val="ListBullet"/>
        <w:spacing w:after="80"/>
      </w:pPr>
      <w:r>
        <w:rPr>
          <w:b/>
        </w:rPr>
        <w:t xml:space="preserve">Prevención de la estigmatización: </w:t>
      </w:r>
      <w:r>
        <w:t>Evitar que los sistemas de datos nominales o los rankings implícitos refuercen etiquetas o prejuicios sobre determinadas comunidades educativas.</w:t>
      </w:r>
    </w:p>
    <w:p>
      <w:pPr>
        <w:pStyle w:val="Heading2"/>
      </w:pPr>
      <w:r>
        <w:t>Eje 6 Adaptabilidad de herramientas metodológicas frente al cambio de paradigma educativo</w:t>
      </w:r>
    </w:p>
    <w:p>
      <w:r>
        <w:rPr>
          <w:b/>
        </w:rPr>
        <w:t xml:space="preserve">Problema central: </w:t>
      </w:r>
      <w:r>
        <w:t>La validez de las métricas tradicionales frente a la transformación del régimen académico y de las trayectorias escolares en Secundaria Aprende.</w:t>
      </w:r>
    </w:p>
    <w:p>
      <w:pPr>
        <w:pStyle w:val="ListBullet"/>
        <w:spacing w:after="80"/>
      </w:pPr>
      <w:r>
        <w:rPr>
          <w:b/>
        </w:rPr>
        <w:t xml:space="preserve">Pérdida de vigencia de indicadores clásicos: </w:t>
      </w:r>
      <w:r>
        <w:t>Revisar categorías como sobreedad, repitencia y promoción, que pueden dejar de reflejar fielmente la trayectoria estudiantil en los nuevos modelos pedagógicos.</w:t>
      </w:r>
    </w:p>
    <w:p>
      <w:pPr>
        <w:pStyle w:val="ListBullet"/>
        <w:spacing w:after="80"/>
      </w:pPr>
      <w:r>
        <w:rPr>
          <w:b/>
        </w:rPr>
        <w:t xml:space="preserve">Flexibilidad y dinamismo de la fórmula: </w:t>
      </w:r>
      <w:r>
        <w:t>Rediseñar la operacionalización del índice de logros ITEP-ITES para incorporar métricas emergentes sin perder comparabilidad histórica ni consistencia estructural.</w:t>
      </w:r>
    </w:p>
    <w:p>
      <w:pPr>
        <w:pStyle w:val="ListBullet"/>
        <w:spacing w:after="80"/>
      </w:pPr>
      <w:r>
        <w:rPr>
          <w:b/>
        </w:rPr>
        <w:t xml:space="preserve">Definición de nuevos indicadores: </w:t>
      </w:r>
      <w:r>
        <w:t>Identificar variables que permitan un seguimiento continuo y cualitativo de los aprendizajes, en lugar de mediciones estáticas del avance de año.</w:t>
      </w:r>
    </w:p>
    <w:sectPr w:rsidR="00FC693F" w:rsidRPr="0006063C" w:rsidSect="00034616">
      <w:pgSz w:w="12240" w:h="15840"/>
      <w:pgMar w:top="1080" w:right="1240" w:bottom="1080" w:left="12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